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rPr>
          <w:rFonts w:hint="eastAsia" w:ascii="宋体" w:hAnsi="宋体" w:eastAsia="宋体" w:cs="宋体"/>
          <w:lang w:val="en-US" w:eastAsia="zh-CN"/>
        </w:rPr>
      </w:pPr>
      <w:r>
        <w:rPr>
          <w:rFonts w:hint="eastAsia" w:ascii="宋体" w:hAnsi="宋体" w:eastAsia="宋体" w:cs="宋体"/>
          <w:lang w:val="en-US" w:eastAsia="zh-CN"/>
        </w:rPr>
        <w:t xml:space="preserve">                                                                                                                                                                                                                                                                                                                                                                                                                                                                                                                                                                                                                                                                                                                                                                                                                                                                </w:t>
      </w:r>
    </w:p>
    <w:p>
      <w:pPr>
        <w:ind w:firstLine="420"/>
        <w:rPr>
          <w:rFonts w:hint="eastAsia" w:ascii="宋体" w:hAnsi="宋体" w:eastAsia="宋体" w:cs="宋体"/>
        </w:rPr>
      </w:pPr>
      <w:r>
        <w:rPr>
          <w:rFonts w:hint="eastAsia" w:ascii="宋体" w:hAnsi="宋体" w:eastAsia="宋体" w:cs="宋体"/>
        </w:rPr>
        <w:drawing>
          <wp:anchor distT="0" distB="0" distL="114300" distR="114300" simplePos="0" relativeHeight="251659264" behindDoc="0" locked="0" layoutInCell="1" allowOverlap="1">
            <wp:simplePos x="0" y="0"/>
            <wp:positionH relativeFrom="column">
              <wp:posOffset>-400050</wp:posOffset>
            </wp:positionH>
            <wp:positionV relativeFrom="paragraph">
              <wp:posOffset>45720</wp:posOffset>
            </wp:positionV>
            <wp:extent cx="2443480" cy="651510"/>
            <wp:effectExtent l="19050" t="0" r="0" b="0"/>
            <wp:wrapNone/>
            <wp:docPr id="1" name="图片 1" descr="C:\Users\ADMINI~1\AppData\Local\Temp\ksohtml1159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11596\wps2.png"/>
                    <pic:cNvPicPr>
                      <a:picLocks noChangeAspect="1" noChangeArrowheads="1"/>
                    </pic:cNvPicPr>
                  </pic:nvPicPr>
                  <pic:blipFill>
                    <a:blip r:embed="rId6"/>
                    <a:srcRect/>
                    <a:stretch>
                      <a:fillRect/>
                    </a:stretch>
                  </pic:blipFill>
                  <pic:spPr>
                    <a:xfrm>
                      <a:off x="0" y="0"/>
                      <a:ext cx="2443480" cy="651510"/>
                    </a:xfrm>
                    <a:prstGeom prst="rect">
                      <a:avLst/>
                    </a:prstGeom>
                    <a:noFill/>
                    <a:ln w="9525">
                      <a:noFill/>
                      <a:miter lim="800000"/>
                      <a:headEnd/>
                      <a:tailEnd/>
                    </a:ln>
                  </pic:spPr>
                </pic:pic>
              </a:graphicData>
            </a:graphic>
          </wp:anchor>
        </w:drawing>
      </w: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jc w:val="center"/>
        <w:rPr>
          <w:rFonts w:hint="eastAsia" w:ascii="宋体" w:hAnsi="宋体" w:eastAsia="宋体" w:cs="宋体"/>
          <w:b/>
          <w:bCs/>
          <w:sz w:val="48"/>
          <w:szCs w:val="48"/>
        </w:rPr>
      </w:pPr>
      <w:r>
        <w:rPr>
          <w:rFonts w:hint="eastAsia" w:ascii="宋体" w:hAnsi="宋体" w:eastAsia="宋体" w:cs="宋体"/>
          <w:b/>
          <w:bCs/>
          <w:sz w:val="48"/>
          <w:szCs w:val="48"/>
        </w:rPr>
        <w:t>湖南外贸职业学院</w:t>
      </w:r>
    </w:p>
    <w:p>
      <w:pPr>
        <w:jc w:val="center"/>
        <w:rPr>
          <w:rFonts w:hint="eastAsia" w:ascii="宋体" w:hAnsi="宋体" w:eastAsia="宋体" w:cs="宋体"/>
          <w:b/>
          <w:bCs/>
          <w:sz w:val="48"/>
          <w:szCs w:val="48"/>
        </w:rPr>
      </w:pPr>
      <w:r>
        <w:rPr>
          <w:rFonts w:hint="eastAsia" w:ascii="宋体" w:hAnsi="宋体" w:eastAsia="宋体" w:cs="宋体"/>
          <w:b/>
          <w:bCs/>
          <w:sz w:val="48"/>
          <w:szCs w:val="48"/>
        </w:rPr>
        <w:t xml:space="preserve"> </w:t>
      </w:r>
    </w:p>
    <w:p>
      <w:pPr>
        <w:jc w:val="center"/>
        <w:outlineLvl w:val="0"/>
        <w:rPr>
          <w:rFonts w:hint="eastAsia" w:ascii="宋体" w:hAnsi="宋体" w:eastAsia="宋体" w:cs="宋体"/>
          <w:b/>
          <w:bCs/>
          <w:sz w:val="48"/>
          <w:szCs w:val="48"/>
        </w:rPr>
      </w:pPr>
      <w:bookmarkStart w:id="0" w:name="_Toc2209"/>
      <w:bookmarkStart w:id="1" w:name="_Toc27144"/>
      <w:r>
        <w:rPr>
          <w:rFonts w:hint="eastAsia" w:ascii="宋体" w:hAnsi="宋体" w:eastAsia="宋体" w:cs="宋体"/>
          <w:b/>
          <w:bCs/>
          <w:sz w:val="48"/>
          <w:szCs w:val="48"/>
        </w:rPr>
        <w:t>2022年高等继续教育发展报告</w:t>
      </w:r>
      <w:bookmarkEnd w:id="0"/>
      <w:bookmarkEnd w:id="1"/>
    </w:p>
    <w:p>
      <w:pPr>
        <w:pStyle w:val="15"/>
        <w:rPr>
          <w:rFonts w:hint="eastAsia" w:ascii="宋体" w:hAnsi="宋体" w:eastAsia="宋体" w:cs="宋体"/>
          <w:spacing w:val="-4"/>
          <w:sz w:val="36"/>
          <w:szCs w:val="36"/>
        </w:rPr>
      </w:pPr>
    </w:p>
    <w:p>
      <w:pPr>
        <w:pStyle w:val="15"/>
        <w:rPr>
          <w:rFonts w:hint="eastAsia" w:ascii="宋体" w:hAnsi="宋体" w:eastAsia="宋体" w:cs="宋体"/>
          <w:spacing w:val="-4"/>
          <w:sz w:val="36"/>
          <w:szCs w:val="36"/>
        </w:rPr>
      </w:pPr>
    </w:p>
    <w:p>
      <w:pPr>
        <w:pStyle w:val="15"/>
        <w:rPr>
          <w:rFonts w:hint="eastAsia" w:ascii="宋体" w:hAnsi="宋体" w:eastAsia="宋体" w:cs="宋体"/>
          <w:spacing w:val="-4"/>
          <w:sz w:val="36"/>
          <w:szCs w:val="36"/>
        </w:rPr>
      </w:pPr>
    </w:p>
    <w:p>
      <w:pPr>
        <w:pStyle w:val="15"/>
        <w:rPr>
          <w:rFonts w:hint="eastAsia" w:ascii="宋体" w:hAnsi="宋体" w:eastAsia="宋体" w:cs="宋体"/>
          <w:spacing w:val="-4"/>
          <w:sz w:val="36"/>
          <w:szCs w:val="36"/>
        </w:rPr>
      </w:pPr>
    </w:p>
    <w:p>
      <w:pPr>
        <w:pStyle w:val="15"/>
        <w:rPr>
          <w:rFonts w:hint="eastAsia" w:ascii="宋体" w:hAnsi="宋体" w:eastAsia="宋体" w:cs="宋体"/>
          <w:spacing w:val="-4"/>
          <w:sz w:val="36"/>
          <w:szCs w:val="36"/>
        </w:rPr>
      </w:pPr>
    </w:p>
    <w:p>
      <w:pPr>
        <w:pStyle w:val="15"/>
        <w:rPr>
          <w:rFonts w:hint="eastAsia" w:ascii="宋体" w:hAnsi="宋体" w:eastAsia="宋体" w:cs="宋体"/>
          <w:spacing w:val="-4"/>
          <w:sz w:val="36"/>
          <w:szCs w:val="36"/>
        </w:rPr>
      </w:pPr>
    </w:p>
    <w:p>
      <w:pPr>
        <w:pStyle w:val="15"/>
        <w:rPr>
          <w:rFonts w:hint="eastAsia" w:ascii="宋体" w:hAnsi="宋体" w:eastAsia="宋体" w:cs="宋体"/>
          <w:spacing w:val="-4"/>
          <w:sz w:val="36"/>
          <w:szCs w:val="36"/>
        </w:rPr>
      </w:pPr>
    </w:p>
    <w:p>
      <w:pPr>
        <w:pStyle w:val="15"/>
        <w:rPr>
          <w:rFonts w:hint="eastAsia" w:ascii="宋体" w:hAnsi="宋体" w:eastAsia="宋体" w:cs="宋体"/>
          <w:spacing w:val="-4"/>
          <w:sz w:val="36"/>
          <w:szCs w:val="36"/>
        </w:rPr>
      </w:pPr>
    </w:p>
    <w:p>
      <w:pPr>
        <w:pStyle w:val="15"/>
        <w:rPr>
          <w:rFonts w:hint="eastAsia" w:ascii="宋体" w:hAnsi="宋体" w:eastAsia="宋体" w:cs="宋体"/>
          <w:spacing w:val="-4"/>
          <w:sz w:val="36"/>
          <w:szCs w:val="36"/>
        </w:rPr>
      </w:pPr>
    </w:p>
    <w:p>
      <w:pPr>
        <w:pStyle w:val="15"/>
        <w:rPr>
          <w:rFonts w:hint="eastAsia" w:ascii="宋体" w:hAnsi="宋体" w:eastAsia="宋体" w:cs="宋体"/>
          <w:spacing w:val="-4"/>
          <w:sz w:val="36"/>
          <w:szCs w:val="36"/>
        </w:rPr>
      </w:pPr>
    </w:p>
    <w:p>
      <w:pPr>
        <w:pStyle w:val="15"/>
        <w:rPr>
          <w:rFonts w:hint="eastAsia" w:ascii="宋体" w:hAnsi="宋体" w:eastAsia="宋体" w:cs="宋体"/>
        </w:rPr>
      </w:pPr>
      <w:r>
        <w:rPr>
          <w:rFonts w:hint="eastAsia" w:ascii="宋体" w:hAnsi="宋体" w:eastAsia="宋体" w:cs="宋体"/>
          <w:spacing w:val="-4"/>
          <w:sz w:val="36"/>
          <w:szCs w:val="36"/>
        </w:rPr>
        <w:t xml:space="preserve">               二○二三年六月</w:t>
      </w:r>
    </w:p>
    <w:p>
      <w:pPr>
        <w:widowControl/>
        <w:rPr>
          <w:rFonts w:hint="eastAsia" w:ascii="宋体" w:hAnsi="宋体" w:eastAsia="宋体" w:cs="宋体"/>
        </w:rPr>
      </w:pPr>
      <w:r>
        <w:rPr>
          <w:rFonts w:hint="eastAsia" w:ascii="宋体" w:hAnsi="宋体" w:eastAsia="宋体" w:cs="宋体"/>
        </w:rPr>
        <w:br w:type="page"/>
      </w:r>
    </w:p>
    <w:sdt>
      <w:sdtPr>
        <w:rPr>
          <w:rFonts w:hint="eastAsia" w:ascii="宋体" w:hAnsi="宋体" w:eastAsia="宋体" w:cs="宋体"/>
          <w:kern w:val="2"/>
          <w:sz w:val="32"/>
          <w:szCs w:val="32"/>
          <w:lang w:val="en-US" w:eastAsia="zh-CN" w:bidi="ar-SA"/>
        </w:rPr>
        <w:id w:val="147483261"/>
        <w15:color w:val="DBDBDB"/>
        <w:docPartObj>
          <w:docPartGallery w:val="Table of Contents"/>
          <w:docPartUnique/>
        </w:docPartObj>
      </w:sdtPr>
      <w:sdtEndPr>
        <w:rPr>
          <w:rFonts w:hint="eastAsia" w:ascii="宋体" w:hAnsi="宋体" w:eastAsia="宋体" w:cs="宋体"/>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r>
            <w:rPr>
              <w:rFonts w:hint="eastAsia" w:ascii="宋体" w:hAnsi="宋体" w:eastAsia="宋体" w:cs="宋体"/>
              <w:sz w:val="32"/>
              <w:szCs w:val="32"/>
            </w:rPr>
            <w:t>目</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录</w:t>
          </w:r>
        </w:p>
        <w:p>
          <w:pPr>
            <w:pStyle w:val="10"/>
            <w:tabs>
              <w:tab w:val="right" w:leader="dot" w:pos="8306"/>
            </w:tabs>
          </w:pP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TOC \o "1-3" \h \u </w:instrText>
          </w:r>
          <w:r>
            <w:rPr>
              <w:rFonts w:hint="eastAsia" w:ascii="宋体" w:hAnsi="宋体" w:eastAsia="宋体" w:cs="宋体"/>
              <w:b/>
              <w:sz w:val="24"/>
              <w:szCs w:val="24"/>
            </w:rPr>
            <w:fldChar w:fldCharType="separate"/>
          </w:r>
          <w:r>
            <w:rPr>
              <w:rFonts w:hint="eastAsia" w:ascii="宋体" w:hAnsi="宋体" w:eastAsia="宋体" w:cs="宋体"/>
              <w:szCs w:val="24"/>
            </w:rPr>
            <w:fldChar w:fldCharType="begin"/>
          </w:r>
          <w:r>
            <w:rPr>
              <w:rFonts w:hint="eastAsia" w:ascii="宋体" w:hAnsi="宋体" w:eastAsia="宋体" w:cs="宋体"/>
              <w:szCs w:val="24"/>
            </w:rPr>
            <w:instrText xml:space="preserve"> HYPERLINK \l _Toc2209 </w:instrText>
          </w:r>
          <w:r>
            <w:rPr>
              <w:rFonts w:hint="eastAsia" w:ascii="宋体" w:hAnsi="宋体" w:eastAsia="宋体" w:cs="宋体"/>
              <w:szCs w:val="24"/>
            </w:rPr>
            <w:fldChar w:fldCharType="separate"/>
          </w:r>
          <w:r>
            <w:rPr>
              <w:rFonts w:hint="eastAsia" w:ascii="宋体" w:hAnsi="宋体" w:eastAsia="宋体" w:cs="宋体"/>
              <w:bCs/>
              <w:szCs w:val="48"/>
            </w:rPr>
            <w:t>2022年高等继续教育发展报告</w:t>
          </w:r>
          <w:r>
            <w:tab/>
          </w:r>
          <w:r>
            <w:fldChar w:fldCharType="begin"/>
          </w:r>
          <w:r>
            <w:instrText xml:space="preserve"> PAGEREF _Toc2209 </w:instrText>
          </w:r>
          <w:r>
            <w:fldChar w:fldCharType="separate"/>
          </w:r>
          <w:r>
            <w:t>1</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_Toc8999 </w:instrText>
          </w:r>
          <w:r>
            <w:rPr>
              <w:rFonts w:hint="eastAsia" w:ascii="宋体" w:hAnsi="宋体" w:eastAsia="宋体" w:cs="宋体"/>
              <w:szCs w:val="24"/>
            </w:rPr>
            <w:fldChar w:fldCharType="separate"/>
          </w:r>
          <w:r>
            <w:rPr>
              <w:rFonts w:hint="eastAsia" w:ascii="宋体" w:hAnsi="宋体" w:eastAsia="宋体" w:cs="宋体"/>
              <w:szCs w:val="28"/>
            </w:rPr>
            <w:t>1.学校情况</w:t>
          </w:r>
          <w:r>
            <w:tab/>
          </w:r>
          <w:r>
            <w:fldChar w:fldCharType="begin"/>
          </w:r>
          <w:r>
            <w:instrText xml:space="preserve"> PAGEREF _Toc8999 </w:instrText>
          </w:r>
          <w:r>
            <w:fldChar w:fldCharType="separate"/>
          </w:r>
          <w:r>
            <w:t>1</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_Toc8391 </w:instrText>
          </w:r>
          <w:r>
            <w:rPr>
              <w:rFonts w:hint="eastAsia" w:ascii="宋体" w:hAnsi="宋体" w:eastAsia="宋体" w:cs="宋体"/>
              <w:szCs w:val="24"/>
            </w:rPr>
            <w:fldChar w:fldCharType="separate"/>
          </w:r>
          <w:r>
            <w:rPr>
              <w:rFonts w:hint="eastAsia" w:ascii="宋体" w:hAnsi="宋体" w:eastAsia="宋体" w:cs="宋体"/>
              <w:szCs w:val="28"/>
            </w:rPr>
            <w:t>1.1学校概况</w:t>
          </w:r>
          <w:r>
            <w:tab/>
          </w:r>
          <w:r>
            <w:fldChar w:fldCharType="begin"/>
          </w:r>
          <w:r>
            <w:instrText xml:space="preserve"> PAGEREF _Toc8391 </w:instrText>
          </w:r>
          <w:r>
            <w:fldChar w:fldCharType="separate"/>
          </w:r>
          <w:r>
            <w:t>1</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_Toc24892 </w:instrText>
          </w:r>
          <w:r>
            <w:rPr>
              <w:rFonts w:hint="eastAsia" w:ascii="宋体" w:hAnsi="宋体" w:eastAsia="宋体" w:cs="宋体"/>
              <w:szCs w:val="24"/>
            </w:rPr>
            <w:fldChar w:fldCharType="separate"/>
          </w:r>
          <w:r>
            <w:rPr>
              <w:rFonts w:hint="eastAsia" w:ascii="宋体" w:hAnsi="宋体" w:eastAsia="宋体" w:cs="宋体"/>
              <w:szCs w:val="28"/>
            </w:rPr>
            <w:t>1.2学校继续教育总体规划</w:t>
          </w:r>
          <w:r>
            <w:tab/>
          </w:r>
          <w:r>
            <w:fldChar w:fldCharType="begin"/>
          </w:r>
          <w:r>
            <w:instrText xml:space="preserve"> PAGEREF _Toc24892 </w:instrText>
          </w:r>
          <w:r>
            <w:fldChar w:fldCharType="separate"/>
          </w:r>
          <w:r>
            <w:t>1</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_Toc20750 </w:instrText>
          </w:r>
          <w:r>
            <w:rPr>
              <w:rFonts w:hint="eastAsia" w:ascii="宋体" w:hAnsi="宋体" w:eastAsia="宋体" w:cs="宋体"/>
              <w:szCs w:val="24"/>
            </w:rPr>
            <w:fldChar w:fldCharType="separate"/>
          </w:r>
          <w:r>
            <w:rPr>
              <w:rFonts w:hint="eastAsia" w:ascii="宋体" w:hAnsi="宋体" w:eastAsia="宋体" w:cs="宋体"/>
              <w:szCs w:val="28"/>
            </w:rPr>
            <w:t>1.3学校继续教育办学定位</w:t>
          </w:r>
          <w:r>
            <w:tab/>
          </w:r>
          <w:r>
            <w:fldChar w:fldCharType="begin"/>
          </w:r>
          <w:r>
            <w:instrText xml:space="preserve"> PAGEREF _Toc20750 </w:instrText>
          </w:r>
          <w:r>
            <w:fldChar w:fldCharType="separate"/>
          </w:r>
          <w:r>
            <w:t>2</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_Toc5754 </w:instrText>
          </w:r>
          <w:r>
            <w:rPr>
              <w:rFonts w:hint="eastAsia" w:ascii="宋体" w:hAnsi="宋体" w:eastAsia="宋体" w:cs="宋体"/>
              <w:szCs w:val="24"/>
            </w:rPr>
            <w:fldChar w:fldCharType="separate"/>
          </w:r>
          <w:r>
            <w:rPr>
              <w:rFonts w:hint="eastAsia" w:ascii="宋体" w:hAnsi="宋体" w:eastAsia="宋体" w:cs="宋体"/>
              <w:szCs w:val="28"/>
            </w:rPr>
            <w:t>1.4学校继续教育办学体制与管理机制</w:t>
          </w:r>
          <w:r>
            <w:tab/>
          </w:r>
          <w:r>
            <w:fldChar w:fldCharType="begin"/>
          </w:r>
          <w:r>
            <w:instrText xml:space="preserve"> PAGEREF _Toc5754 </w:instrText>
          </w:r>
          <w:r>
            <w:fldChar w:fldCharType="separate"/>
          </w:r>
          <w:r>
            <w:t>2</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_Toc20033 </w:instrText>
          </w:r>
          <w:r>
            <w:rPr>
              <w:rFonts w:hint="eastAsia" w:ascii="宋体" w:hAnsi="宋体" w:eastAsia="宋体" w:cs="宋体"/>
              <w:szCs w:val="24"/>
            </w:rPr>
            <w:fldChar w:fldCharType="separate"/>
          </w:r>
          <w:r>
            <w:rPr>
              <w:rFonts w:hint="eastAsia" w:ascii="宋体" w:hAnsi="宋体" w:eastAsia="宋体" w:cs="宋体"/>
              <w:szCs w:val="28"/>
            </w:rPr>
            <w:t>1.4.1办学体制</w:t>
          </w:r>
          <w:r>
            <w:tab/>
          </w:r>
          <w:r>
            <w:fldChar w:fldCharType="begin"/>
          </w:r>
          <w:r>
            <w:instrText xml:space="preserve"> PAGEREF _Toc20033 </w:instrText>
          </w:r>
          <w:r>
            <w:fldChar w:fldCharType="separate"/>
          </w:r>
          <w:r>
            <w:t>2</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_Toc31420 </w:instrText>
          </w:r>
          <w:r>
            <w:rPr>
              <w:rFonts w:hint="eastAsia" w:ascii="宋体" w:hAnsi="宋体" w:eastAsia="宋体" w:cs="宋体"/>
              <w:szCs w:val="24"/>
            </w:rPr>
            <w:fldChar w:fldCharType="separate"/>
          </w:r>
          <w:r>
            <w:rPr>
              <w:rFonts w:hint="eastAsia" w:ascii="宋体" w:hAnsi="宋体" w:eastAsia="宋体" w:cs="宋体"/>
              <w:szCs w:val="28"/>
            </w:rPr>
            <w:t>1.4.2管理机制</w:t>
          </w:r>
          <w:r>
            <w:tab/>
          </w:r>
          <w:r>
            <w:fldChar w:fldCharType="begin"/>
          </w:r>
          <w:r>
            <w:instrText xml:space="preserve"> PAGEREF _Toc31420 </w:instrText>
          </w:r>
          <w:r>
            <w:fldChar w:fldCharType="separate"/>
          </w:r>
          <w:r>
            <w:t>2</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_Toc30214 </w:instrText>
          </w:r>
          <w:r>
            <w:rPr>
              <w:rFonts w:hint="eastAsia" w:ascii="宋体" w:hAnsi="宋体" w:eastAsia="宋体" w:cs="宋体"/>
              <w:szCs w:val="24"/>
            </w:rPr>
            <w:fldChar w:fldCharType="separate"/>
          </w:r>
          <w:r>
            <w:rPr>
              <w:rFonts w:hint="eastAsia" w:ascii="宋体" w:hAnsi="宋体" w:eastAsia="宋体" w:cs="宋体"/>
              <w:szCs w:val="28"/>
            </w:rPr>
            <w:t>2.专业设置</w:t>
          </w:r>
          <w:r>
            <w:tab/>
          </w:r>
          <w:r>
            <w:fldChar w:fldCharType="begin"/>
          </w:r>
          <w:r>
            <w:instrText xml:space="preserve"> PAGEREF _Toc30214 </w:instrText>
          </w:r>
          <w:r>
            <w:fldChar w:fldCharType="separate"/>
          </w:r>
          <w:r>
            <w:t>3</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_Toc19812 </w:instrText>
          </w:r>
          <w:r>
            <w:rPr>
              <w:rFonts w:hint="eastAsia" w:ascii="宋体" w:hAnsi="宋体" w:eastAsia="宋体" w:cs="宋体"/>
              <w:szCs w:val="24"/>
            </w:rPr>
            <w:fldChar w:fldCharType="separate"/>
          </w:r>
          <w:r>
            <w:rPr>
              <w:rFonts w:hint="eastAsia" w:ascii="宋体" w:hAnsi="宋体" w:eastAsia="宋体" w:cs="宋体"/>
              <w:szCs w:val="28"/>
            </w:rPr>
            <w:t>2.1学历继续教育专业设置</w:t>
          </w:r>
          <w:r>
            <w:tab/>
          </w:r>
          <w:r>
            <w:fldChar w:fldCharType="begin"/>
          </w:r>
          <w:r>
            <w:instrText xml:space="preserve"> PAGEREF _Toc19812 </w:instrText>
          </w:r>
          <w:r>
            <w:fldChar w:fldCharType="separate"/>
          </w:r>
          <w:r>
            <w:t>3</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_Toc18759 </w:instrText>
          </w:r>
          <w:r>
            <w:rPr>
              <w:rFonts w:hint="eastAsia" w:ascii="宋体" w:hAnsi="宋体" w:eastAsia="宋体" w:cs="宋体"/>
              <w:szCs w:val="24"/>
            </w:rPr>
            <w:fldChar w:fldCharType="separate"/>
          </w:r>
          <w:r>
            <w:rPr>
              <w:rFonts w:hint="eastAsia" w:ascii="宋体" w:hAnsi="宋体" w:eastAsia="宋体" w:cs="宋体"/>
              <w:szCs w:val="28"/>
            </w:rPr>
            <w:t>2.1.1专业设置概况</w:t>
          </w:r>
          <w:r>
            <w:tab/>
          </w:r>
          <w:r>
            <w:fldChar w:fldCharType="begin"/>
          </w:r>
          <w:r>
            <w:instrText xml:space="preserve"> PAGEREF _Toc18759 </w:instrText>
          </w:r>
          <w:r>
            <w:fldChar w:fldCharType="separate"/>
          </w:r>
          <w:r>
            <w:t>3</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_Toc30359 </w:instrText>
          </w:r>
          <w:r>
            <w:rPr>
              <w:rFonts w:hint="eastAsia" w:ascii="宋体" w:hAnsi="宋体" w:eastAsia="宋体" w:cs="宋体"/>
              <w:szCs w:val="24"/>
            </w:rPr>
            <w:fldChar w:fldCharType="separate"/>
          </w:r>
          <w:r>
            <w:rPr>
              <w:rFonts w:hint="eastAsia" w:ascii="宋体" w:hAnsi="宋体" w:eastAsia="宋体" w:cs="宋体"/>
              <w:szCs w:val="28"/>
            </w:rPr>
            <w:t>2.1.2专业结构布局</w:t>
          </w:r>
          <w:r>
            <w:tab/>
          </w:r>
          <w:r>
            <w:fldChar w:fldCharType="begin"/>
          </w:r>
          <w:r>
            <w:instrText xml:space="preserve"> PAGEREF _Toc30359 </w:instrText>
          </w:r>
          <w:r>
            <w:fldChar w:fldCharType="separate"/>
          </w:r>
          <w:r>
            <w:t>4</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_Toc22252 </w:instrText>
          </w:r>
          <w:r>
            <w:rPr>
              <w:rFonts w:hint="eastAsia" w:ascii="宋体" w:hAnsi="宋体" w:eastAsia="宋体" w:cs="宋体"/>
              <w:szCs w:val="24"/>
            </w:rPr>
            <w:fldChar w:fldCharType="separate"/>
          </w:r>
          <w:r>
            <w:rPr>
              <w:rFonts w:hint="eastAsia" w:ascii="宋体" w:hAnsi="宋体" w:eastAsia="宋体" w:cs="宋体"/>
              <w:szCs w:val="28"/>
            </w:rPr>
            <w:t>2.2学历继续教育专业调整情况</w:t>
          </w:r>
          <w:r>
            <w:tab/>
          </w:r>
          <w:r>
            <w:fldChar w:fldCharType="begin"/>
          </w:r>
          <w:r>
            <w:instrText xml:space="preserve"> PAGEREF _Toc22252 </w:instrText>
          </w:r>
          <w:r>
            <w:fldChar w:fldCharType="separate"/>
          </w:r>
          <w:r>
            <w:t>4</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_Toc23440 </w:instrText>
          </w:r>
          <w:r>
            <w:rPr>
              <w:rFonts w:hint="eastAsia" w:ascii="宋体" w:hAnsi="宋体" w:eastAsia="宋体" w:cs="宋体"/>
              <w:szCs w:val="24"/>
            </w:rPr>
            <w:fldChar w:fldCharType="separate"/>
          </w:r>
          <w:r>
            <w:rPr>
              <w:rFonts w:hint="eastAsia" w:ascii="宋体" w:hAnsi="宋体" w:eastAsia="宋体" w:cs="宋体"/>
              <w:szCs w:val="28"/>
            </w:rPr>
            <w:t>2.2.1调整思路</w:t>
          </w:r>
          <w:r>
            <w:tab/>
          </w:r>
          <w:r>
            <w:fldChar w:fldCharType="begin"/>
          </w:r>
          <w:r>
            <w:instrText xml:space="preserve"> PAGEREF _Toc23440 </w:instrText>
          </w:r>
          <w:r>
            <w:fldChar w:fldCharType="separate"/>
          </w:r>
          <w:r>
            <w:t>4</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_Toc366 </w:instrText>
          </w:r>
          <w:r>
            <w:rPr>
              <w:rFonts w:hint="eastAsia" w:ascii="宋体" w:hAnsi="宋体" w:eastAsia="宋体" w:cs="宋体"/>
              <w:szCs w:val="24"/>
            </w:rPr>
            <w:fldChar w:fldCharType="separate"/>
          </w:r>
          <w:r>
            <w:rPr>
              <w:rFonts w:hint="eastAsia" w:ascii="宋体" w:hAnsi="宋体" w:eastAsia="宋体" w:cs="宋体"/>
              <w:szCs w:val="28"/>
            </w:rPr>
            <w:t>2.2.2调整进展</w:t>
          </w:r>
          <w:r>
            <w:tab/>
          </w:r>
          <w:r>
            <w:fldChar w:fldCharType="begin"/>
          </w:r>
          <w:r>
            <w:instrText xml:space="preserve"> PAGEREF _Toc366 </w:instrText>
          </w:r>
          <w:r>
            <w:fldChar w:fldCharType="separate"/>
          </w:r>
          <w:r>
            <w:t>4</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_Toc18017 </w:instrText>
          </w:r>
          <w:r>
            <w:rPr>
              <w:rFonts w:hint="eastAsia" w:ascii="宋体" w:hAnsi="宋体" w:eastAsia="宋体" w:cs="宋体"/>
              <w:szCs w:val="24"/>
            </w:rPr>
            <w:fldChar w:fldCharType="separate"/>
          </w:r>
          <w:r>
            <w:rPr>
              <w:rFonts w:hint="eastAsia" w:ascii="宋体" w:hAnsi="宋体" w:eastAsia="宋体" w:cs="宋体"/>
              <w:szCs w:val="28"/>
            </w:rPr>
            <w:t>2.2.3工作成效</w:t>
          </w:r>
          <w:r>
            <w:tab/>
          </w:r>
          <w:r>
            <w:fldChar w:fldCharType="begin"/>
          </w:r>
          <w:r>
            <w:instrText xml:space="preserve"> PAGEREF _Toc18017 </w:instrText>
          </w:r>
          <w:r>
            <w:fldChar w:fldCharType="separate"/>
          </w:r>
          <w:r>
            <w:t>4</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_Toc7697 </w:instrText>
          </w:r>
          <w:r>
            <w:rPr>
              <w:rFonts w:hint="eastAsia" w:ascii="宋体" w:hAnsi="宋体" w:eastAsia="宋体" w:cs="宋体"/>
              <w:szCs w:val="24"/>
            </w:rPr>
            <w:fldChar w:fldCharType="separate"/>
          </w:r>
          <w:r>
            <w:rPr>
              <w:rFonts w:hint="eastAsia" w:ascii="宋体" w:hAnsi="宋体" w:eastAsia="宋体" w:cs="宋体"/>
              <w:szCs w:val="28"/>
            </w:rPr>
            <w:t>2.3专业人才培养方案的制订及修订情况</w:t>
          </w:r>
          <w:r>
            <w:tab/>
          </w:r>
          <w:r>
            <w:fldChar w:fldCharType="begin"/>
          </w:r>
          <w:r>
            <w:instrText xml:space="preserve"> PAGEREF _Toc7697 </w:instrText>
          </w:r>
          <w:r>
            <w:fldChar w:fldCharType="separate"/>
          </w:r>
          <w:r>
            <w:t>4</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_Toc1238 </w:instrText>
          </w:r>
          <w:r>
            <w:rPr>
              <w:rFonts w:hint="eastAsia" w:ascii="宋体" w:hAnsi="宋体" w:eastAsia="宋体" w:cs="宋体"/>
              <w:szCs w:val="24"/>
            </w:rPr>
            <w:fldChar w:fldCharType="separate"/>
          </w:r>
          <w:r>
            <w:rPr>
              <w:rFonts w:hint="eastAsia" w:ascii="宋体" w:hAnsi="宋体" w:eastAsia="宋体" w:cs="宋体"/>
              <w:szCs w:val="28"/>
            </w:rPr>
            <w:t>2.3.1人才培养方案的制订</w:t>
          </w:r>
          <w:r>
            <w:tab/>
          </w:r>
          <w:r>
            <w:fldChar w:fldCharType="begin"/>
          </w:r>
          <w:r>
            <w:instrText xml:space="preserve"> PAGEREF _Toc1238 </w:instrText>
          </w:r>
          <w:r>
            <w:fldChar w:fldCharType="separate"/>
          </w:r>
          <w:r>
            <w:t>4</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_Toc8892 </w:instrText>
          </w:r>
          <w:r>
            <w:rPr>
              <w:rFonts w:hint="eastAsia" w:ascii="宋体" w:hAnsi="宋体" w:eastAsia="宋体" w:cs="宋体"/>
              <w:szCs w:val="24"/>
            </w:rPr>
            <w:fldChar w:fldCharType="separate"/>
          </w:r>
          <w:r>
            <w:rPr>
              <w:rFonts w:hint="eastAsia" w:ascii="宋体" w:hAnsi="宋体" w:eastAsia="宋体" w:cs="宋体"/>
              <w:szCs w:val="28"/>
            </w:rPr>
            <w:t>2.3.2人才培养方案调整情况</w:t>
          </w:r>
          <w:r>
            <w:tab/>
          </w:r>
          <w:r>
            <w:fldChar w:fldCharType="begin"/>
          </w:r>
          <w:r>
            <w:instrText xml:space="preserve"> PAGEREF _Toc8892 </w:instrText>
          </w:r>
          <w:r>
            <w:fldChar w:fldCharType="separate"/>
          </w:r>
          <w:r>
            <w:t>5</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_Toc16217 </w:instrText>
          </w:r>
          <w:r>
            <w:rPr>
              <w:rFonts w:hint="eastAsia" w:ascii="宋体" w:hAnsi="宋体" w:eastAsia="宋体" w:cs="宋体"/>
              <w:szCs w:val="24"/>
            </w:rPr>
            <w:fldChar w:fldCharType="separate"/>
          </w:r>
          <w:r>
            <w:rPr>
              <w:rFonts w:hint="eastAsia" w:ascii="宋体" w:hAnsi="宋体" w:eastAsia="宋体" w:cs="宋体"/>
              <w:szCs w:val="28"/>
            </w:rPr>
            <w:t>3.人才培养</w:t>
          </w:r>
          <w:r>
            <w:tab/>
          </w:r>
          <w:r>
            <w:fldChar w:fldCharType="begin"/>
          </w:r>
          <w:r>
            <w:instrText xml:space="preserve"> PAGEREF _Toc16217 </w:instrText>
          </w:r>
          <w:r>
            <w:fldChar w:fldCharType="separate"/>
          </w:r>
          <w:r>
            <w:t>5</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_Toc32716 </w:instrText>
          </w:r>
          <w:r>
            <w:rPr>
              <w:rFonts w:hint="eastAsia" w:ascii="宋体" w:hAnsi="宋体" w:eastAsia="宋体" w:cs="宋体"/>
              <w:szCs w:val="24"/>
            </w:rPr>
            <w:fldChar w:fldCharType="separate"/>
          </w:r>
          <w:r>
            <w:rPr>
              <w:rFonts w:hint="eastAsia" w:ascii="宋体" w:hAnsi="宋体" w:eastAsia="宋体" w:cs="宋体"/>
              <w:szCs w:val="28"/>
            </w:rPr>
            <w:t>3.1学历继续教育情况</w:t>
          </w:r>
          <w:r>
            <w:tab/>
          </w:r>
          <w:r>
            <w:fldChar w:fldCharType="begin"/>
          </w:r>
          <w:r>
            <w:instrText xml:space="preserve"> PAGEREF _Toc32716 </w:instrText>
          </w:r>
          <w:r>
            <w:fldChar w:fldCharType="separate"/>
          </w:r>
          <w:r>
            <w:t>5</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_Toc20483 </w:instrText>
          </w:r>
          <w:r>
            <w:rPr>
              <w:rFonts w:hint="eastAsia" w:ascii="宋体" w:hAnsi="宋体" w:eastAsia="宋体" w:cs="宋体"/>
              <w:szCs w:val="24"/>
            </w:rPr>
            <w:fldChar w:fldCharType="separate"/>
          </w:r>
          <w:r>
            <w:rPr>
              <w:rFonts w:hint="eastAsia" w:ascii="宋体" w:hAnsi="宋体" w:eastAsia="宋体" w:cs="宋体"/>
              <w:szCs w:val="28"/>
            </w:rPr>
            <w:t>3.1.1 2022年在校生情况</w:t>
          </w:r>
          <w:r>
            <w:tab/>
          </w:r>
          <w:r>
            <w:fldChar w:fldCharType="begin"/>
          </w:r>
          <w:r>
            <w:instrText xml:space="preserve"> PAGEREF _Toc20483 </w:instrText>
          </w:r>
          <w:r>
            <w:fldChar w:fldCharType="separate"/>
          </w:r>
          <w:r>
            <w:t>5</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_Toc27996 </w:instrText>
          </w:r>
          <w:r>
            <w:rPr>
              <w:rFonts w:hint="eastAsia" w:ascii="宋体" w:hAnsi="宋体" w:eastAsia="宋体" w:cs="宋体"/>
              <w:szCs w:val="24"/>
            </w:rPr>
            <w:fldChar w:fldCharType="separate"/>
          </w:r>
          <w:r>
            <w:rPr>
              <w:rFonts w:hint="eastAsia" w:ascii="宋体" w:hAnsi="宋体" w:eastAsia="宋体" w:cs="宋体"/>
              <w:szCs w:val="28"/>
            </w:rPr>
            <w:t>3.1.1.2招生情况</w:t>
          </w:r>
          <w:r>
            <w:tab/>
          </w:r>
          <w:r>
            <w:fldChar w:fldCharType="begin"/>
          </w:r>
          <w:r>
            <w:instrText xml:space="preserve"> PAGEREF _Toc27996 </w:instrText>
          </w:r>
          <w:r>
            <w:fldChar w:fldCharType="separate"/>
          </w:r>
          <w:r>
            <w:t>6</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_Toc25415 </w:instrText>
          </w:r>
          <w:r>
            <w:rPr>
              <w:rFonts w:hint="eastAsia" w:ascii="宋体" w:hAnsi="宋体" w:eastAsia="宋体" w:cs="宋体"/>
              <w:szCs w:val="24"/>
            </w:rPr>
            <w:fldChar w:fldCharType="separate"/>
          </w:r>
          <w:r>
            <w:rPr>
              <w:rFonts w:hint="eastAsia" w:ascii="宋体" w:hAnsi="宋体" w:eastAsia="宋体" w:cs="宋体"/>
              <w:szCs w:val="28"/>
            </w:rPr>
            <w:t>3.1.1.3毕业情况</w:t>
          </w:r>
          <w:r>
            <w:tab/>
          </w:r>
          <w:r>
            <w:fldChar w:fldCharType="begin"/>
          </w:r>
          <w:r>
            <w:instrText xml:space="preserve"> PAGEREF _Toc25415 </w:instrText>
          </w:r>
          <w:r>
            <w:fldChar w:fldCharType="separate"/>
          </w:r>
          <w:r>
            <w:t>6</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_Toc28621 </w:instrText>
          </w:r>
          <w:r>
            <w:rPr>
              <w:rFonts w:hint="eastAsia" w:ascii="宋体" w:hAnsi="宋体" w:eastAsia="宋体" w:cs="宋体"/>
              <w:szCs w:val="24"/>
            </w:rPr>
            <w:fldChar w:fldCharType="separate"/>
          </w:r>
          <w:r>
            <w:rPr>
              <w:rFonts w:hint="eastAsia" w:ascii="宋体" w:hAnsi="宋体" w:eastAsia="宋体" w:cs="宋体"/>
              <w:szCs w:val="28"/>
            </w:rPr>
            <w:t>3.1.2生源分析</w:t>
          </w:r>
          <w:r>
            <w:tab/>
          </w:r>
          <w:r>
            <w:fldChar w:fldCharType="begin"/>
          </w:r>
          <w:r>
            <w:instrText xml:space="preserve"> PAGEREF _Toc28621 </w:instrText>
          </w:r>
          <w:r>
            <w:fldChar w:fldCharType="separate"/>
          </w:r>
          <w:r>
            <w:t>7</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_Toc14040 </w:instrText>
          </w:r>
          <w:r>
            <w:rPr>
              <w:rFonts w:hint="eastAsia" w:ascii="宋体" w:hAnsi="宋体" w:eastAsia="宋体" w:cs="宋体"/>
              <w:szCs w:val="24"/>
            </w:rPr>
            <w:fldChar w:fldCharType="separate"/>
          </w:r>
          <w:r>
            <w:rPr>
              <w:rFonts w:hint="eastAsia" w:ascii="宋体" w:hAnsi="宋体" w:eastAsia="宋体" w:cs="宋体"/>
              <w:szCs w:val="28"/>
            </w:rPr>
            <w:t>3.1.3人才培养模式与教育基本情况</w:t>
          </w:r>
          <w:r>
            <w:tab/>
          </w:r>
          <w:r>
            <w:fldChar w:fldCharType="begin"/>
          </w:r>
          <w:r>
            <w:instrText xml:space="preserve"> PAGEREF _Toc14040 </w:instrText>
          </w:r>
          <w:r>
            <w:fldChar w:fldCharType="separate"/>
          </w:r>
          <w:r>
            <w:t>7</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_Toc13718 </w:instrText>
          </w:r>
          <w:r>
            <w:rPr>
              <w:rFonts w:hint="eastAsia" w:ascii="宋体" w:hAnsi="宋体" w:eastAsia="宋体" w:cs="宋体"/>
              <w:szCs w:val="24"/>
            </w:rPr>
            <w:fldChar w:fldCharType="separate"/>
          </w:r>
          <w:r>
            <w:rPr>
              <w:rFonts w:hint="eastAsia" w:ascii="宋体" w:hAnsi="宋体" w:eastAsia="宋体" w:cs="宋体"/>
              <w:szCs w:val="28"/>
            </w:rPr>
            <w:t>3.1.3.1人才培养模式</w:t>
          </w:r>
          <w:r>
            <w:tab/>
          </w:r>
          <w:r>
            <w:fldChar w:fldCharType="begin"/>
          </w:r>
          <w:r>
            <w:instrText xml:space="preserve"> PAGEREF _Toc13718 </w:instrText>
          </w:r>
          <w:r>
            <w:fldChar w:fldCharType="separate"/>
          </w:r>
          <w:r>
            <w:t>7</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_Toc12459 </w:instrText>
          </w:r>
          <w:r>
            <w:rPr>
              <w:rFonts w:hint="eastAsia" w:ascii="宋体" w:hAnsi="宋体" w:eastAsia="宋体" w:cs="宋体"/>
              <w:szCs w:val="24"/>
            </w:rPr>
            <w:fldChar w:fldCharType="separate"/>
          </w:r>
          <w:r>
            <w:rPr>
              <w:rFonts w:hint="eastAsia" w:ascii="宋体" w:hAnsi="宋体" w:eastAsia="宋体" w:cs="宋体"/>
              <w:szCs w:val="28"/>
            </w:rPr>
            <w:t>3.1.3.2教学的基本情况</w:t>
          </w:r>
          <w:r>
            <w:tab/>
          </w:r>
          <w:r>
            <w:fldChar w:fldCharType="begin"/>
          </w:r>
          <w:r>
            <w:instrText xml:space="preserve"> PAGEREF _Toc12459 </w:instrText>
          </w:r>
          <w:r>
            <w:fldChar w:fldCharType="separate"/>
          </w:r>
          <w:r>
            <w:t>7</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_Toc16558 </w:instrText>
          </w:r>
          <w:r>
            <w:rPr>
              <w:rFonts w:hint="eastAsia" w:ascii="宋体" w:hAnsi="宋体" w:eastAsia="宋体" w:cs="宋体"/>
              <w:szCs w:val="24"/>
            </w:rPr>
            <w:fldChar w:fldCharType="separate"/>
          </w:r>
          <w:r>
            <w:rPr>
              <w:rFonts w:hint="eastAsia" w:ascii="宋体" w:hAnsi="宋体" w:eastAsia="宋体" w:cs="宋体"/>
              <w:szCs w:val="28"/>
            </w:rPr>
            <w:t>3.2非学历继续教育情况</w:t>
          </w:r>
          <w:r>
            <w:tab/>
          </w:r>
          <w:r>
            <w:fldChar w:fldCharType="begin"/>
          </w:r>
          <w:r>
            <w:instrText xml:space="preserve"> PAGEREF _Toc16558 </w:instrText>
          </w:r>
          <w:r>
            <w:fldChar w:fldCharType="separate"/>
          </w:r>
          <w:r>
            <w:t>9</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_Toc5973 </w:instrText>
          </w:r>
          <w:r>
            <w:rPr>
              <w:rFonts w:hint="eastAsia" w:ascii="宋体" w:hAnsi="宋体" w:eastAsia="宋体" w:cs="宋体"/>
              <w:szCs w:val="24"/>
            </w:rPr>
            <w:fldChar w:fldCharType="separate"/>
          </w:r>
          <w:r>
            <w:rPr>
              <w:rFonts w:hint="eastAsia" w:ascii="宋体" w:hAnsi="宋体" w:eastAsia="宋体" w:cs="宋体"/>
              <w:szCs w:val="28"/>
            </w:rPr>
            <w:t>3.2.1总体规模</w:t>
          </w:r>
          <w:r>
            <w:tab/>
          </w:r>
          <w:r>
            <w:fldChar w:fldCharType="begin"/>
          </w:r>
          <w:r>
            <w:instrText xml:space="preserve"> PAGEREF _Toc5973 </w:instrText>
          </w:r>
          <w:r>
            <w:fldChar w:fldCharType="separate"/>
          </w:r>
          <w:r>
            <w:t>9</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_Toc8191 </w:instrText>
          </w:r>
          <w:r>
            <w:rPr>
              <w:rFonts w:hint="eastAsia" w:ascii="宋体" w:hAnsi="宋体" w:eastAsia="宋体" w:cs="宋体"/>
              <w:szCs w:val="24"/>
            </w:rPr>
            <w:fldChar w:fldCharType="separate"/>
          </w:r>
          <w:r>
            <w:rPr>
              <w:rFonts w:hint="eastAsia" w:ascii="宋体" w:hAnsi="宋体" w:eastAsia="宋体" w:cs="宋体"/>
              <w:szCs w:val="28"/>
            </w:rPr>
            <w:t>3.2.2培训</w:t>
          </w:r>
          <w:r>
            <w:rPr>
              <w:rFonts w:hint="eastAsia" w:ascii="宋体" w:hAnsi="宋体" w:eastAsia="宋体" w:cs="宋体"/>
              <w:szCs w:val="28"/>
              <w:lang w:val="en-US" w:eastAsia="zh-CN"/>
            </w:rPr>
            <w:t>模式</w:t>
          </w:r>
          <w:r>
            <w:tab/>
          </w:r>
          <w:r>
            <w:fldChar w:fldCharType="begin"/>
          </w:r>
          <w:r>
            <w:instrText xml:space="preserve"> PAGEREF _Toc8191 </w:instrText>
          </w:r>
          <w:r>
            <w:fldChar w:fldCharType="separate"/>
          </w:r>
          <w:r>
            <w:t>10</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_Toc15891 </w:instrText>
          </w:r>
          <w:r>
            <w:rPr>
              <w:rFonts w:hint="eastAsia" w:ascii="宋体" w:hAnsi="宋体" w:eastAsia="宋体" w:cs="宋体"/>
              <w:szCs w:val="24"/>
            </w:rPr>
            <w:fldChar w:fldCharType="separate"/>
          </w:r>
          <w:r>
            <w:rPr>
              <w:rFonts w:hint="eastAsia" w:ascii="宋体" w:hAnsi="宋体" w:eastAsia="宋体" w:cs="宋体"/>
              <w:szCs w:val="28"/>
            </w:rPr>
            <w:t xml:space="preserve">3.2.3对照《普通高等学校举办非学历教育管理规定（试行）》 </w:t>
          </w:r>
          <w:r>
            <w:rPr>
              <w:rFonts w:hint="eastAsia" w:ascii="宋体" w:hAnsi="宋体" w:eastAsia="宋体" w:cs="宋体"/>
              <w:szCs w:val="28"/>
              <w:lang w:val="en-US" w:eastAsia="zh-CN"/>
            </w:rPr>
            <w:t>文件</w:t>
          </w:r>
          <w:r>
            <w:tab/>
          </w:r>
          <w:r>
            <w:fldChar w:fldCharType="begin"/>
          </w:r>
          <w:r>
            <w:instrText xml:space="preserve"> PAGEREF _Toc15891 </w:instrText>
          </w:r>
          <w:r>
            <w:fldChar w:fldCharType="separate"/>
          </w:r>
          <w:r>
            <w:t>13</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_Toc25035 </w:instrText>
          </w:r>
          <w:r>
            <w:rPr>
              <w:rFonts w:hint="eastAsia" w:ascii="宋体" w:hAnsi="宋体" w:eastAsia="宋体" w:cs="宋体"/>
              <w:szCs w:val="24"/>
            </w:rPr>
            <w:fldChar w:fldCharType="separate"/>
          </w:r>
          <w:r>
            <w:rPr>
              <w:rFonts w:hint="eastAsia" w:ascii="宋体" w:hAnsi="宋体" w:eastAsia="宋体" w:cs="宋体"/>
              <w:szCs w:val="28"/>
            </w:rPr>
            <w:t>3.3人才培养中的思政教育</w:t>
          </w:r>
          <w:r>
            <w:tab/>
          </w:r>
          <w:r>
            <w:fldChar w:fldCharType="begin"/>
          </w:r>
          <w:r>
            <w:instrText xml:space="preserve"> PAGEREF _Toc25035 </w:instrText>
          </w:r>
          <w:r>
            <w:fldChar w:fldCharType="separate"/>
          </w:r>
          <w:r>
            <w:t>13</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_Toc18999 </w:instrText>
          </w:r>
          <w:r>
            <w:rPr>
              <w:rFonts w:hint="eastAsia" w:ascii="宋体" w:hAnsi="宋体" w:eastAsia="宋体" w:cs="宋体"/>
              <w:szCs w:val="24"/>
            </w:rPr>
            <w:fldChar w:fldCharType="separate"/>
          </w:r>
          <w:r>
            <w:rPr>
              <w:rFonts w:hint="eastAsia" w:ascii="宋体" w:hAnsi="宋体" w:eastAsia="宋体" w:cs="宋体"/>
              <w:szCs w:val="28"/>
            </w:rPr>
            <w:t>3.3.1思政课程</w:t>
          </w:r>
          <w:r>
            <w:tab/>
          </w:r>
          <w:r>
            <w:fldChar w:fldCharType="begin"/>
          </w:r>
          <w:r>
            <w:instrText xml:space="preserve"> PAGEREF _Toc18999 </w:instrText>
          </w:r>
          <w:r>
            <w:fldChar w:fldCharType="separate"/>
          </w:r>
          <w:r>
            <w:t>13</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_Toc28141 </w:instrText>
          </w:r>
          <w:r>
            <w:rPr>
              <w:rFonts w:hint="eastAsia" w:ascii="宋体" w:hAnsi="宋体" w:eastAsia="宋体" w:cs="宋体"/>
              <w:szCs w:val="24"/>
            </w:rPr>
            <w:fldChar w:fldCharType="separate"/>
          </w:r>
          <w:r>
            <w:rPr>
              <w:rFonts w:hint="eastAsia" w:ascii="宋体" w:hAnsi="宋体" w:eastAsia="宋体" w:cs="宋体"/>
              <w:szCs w:val="28"/>
            </w:rPr>
            <w:t>3.3.2校园文化建设</w:t>
          </w:r>
          <w:r>
            <w:tab/>
          </w:r>
          <w:r>
            <w:fldChar w:fldCharType="begin"/>
          </w:r>
          <w:r>
            <w:instrText xml:space="preserve"> PAGEREF _Toc28141 </w:instrText>
          </w:r>
          <w:r>
            <w:fldChar w:fldCharType="separate"/>
          </w:r>
          <w:r>
            <w:t>14</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_Toc9421 </w:instrText>
          </w:r>
          <w:r>
            <w:rPr>
              <w:rFonts w:hint="eastAsia" w:ascii="宋体" w:hAnsi="宋体" w:eastAsia="宋体" w:cs="宋体"/>
              <w:szCs w:val="24"/>
            </w:rPr>
            <w:fldChar w:fldCharType="separate"/>
          </w:r>
          <w:r>
            <w:rPr>
              <w:rFonts w:hint="eastAsia" w:ascii="宋体" w:hAnsi="宋体" w:eastAsia="宋体" w:cs="宋体"/>
              <w:bCs/>
              <w:szCs w:val="28"/>
            </w:rPr>
            <w:t>3.4学员学习效果</w:t>
          </w:r>
          <w:r>
            <w:tab/>
          </w:r>
          <w:r>
            <w:fldChar w:fldCharType="begin"/>
          </w:r>
          <w:r>
            <w:instrText xml:space="preserve"> PAGEREF _Toc9421 </w:instrText>
          </w:r>
          <w:r>
            <w:fldChar w:fldCharType="separate"/>
          </w:r>
          <w:r>
            <w:t>14</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_Toc12116 </w:instrText>
          </w:r>
          <w:r>
            <w:rPr>
              <w:rFonts w:hint="eastAsia" w:ascii="宋体" w:hAnsi="宋体" w:eastAsia="宋体" w:cs="宋体"/>
              <w:szCs w:val="24"/>
            </w:rPr>
            <w:fldChar w:fldCharType="separate"/>
          </w:r>
          <w:r>
            <w:rPr>
              <w:rFonts w:hint="eastAsia" w:ascii="宋体" w:hAnsi="宋体" w:eastAsia="宋体" w:cs="宋体"/>
              <w:szCs w:val="28"/>
            </w:rPr>
            <w:t>4.质量保证</w:t>
          </w:r>
          <w:r>
            <w:tab/>
          </w:r>
          <w:r>
            <w:fldChar w:fldCharType="begin"/>
          </w:r>
          <w:r>
            <w:instrText xml:space="preserve"> PAGEREF _Toc12116 </w:instrText>
          </w:r>
          <w:r>
            <w:fldChar w:fldCharType="separate"/>
          </w:r>
          <w:r>
            <w:t>15</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_Toc703 </w:instrText>
          </w:r>
          <w:r>
            <w:rPr>
              <w:rFonts w:hint="eastAsia" w:ascii="宋体" w:hAnsi="宋体" w:eastAsia="宋体" w:cs="宋体"/>
              <w:szCs w:val="24"/>
            </w:rPr>
            <w:fldChar w:fldCharType="separate"/>
          </w:r>
          <w:r>
            <w:rPr>
              <w:rFonts w:hint="eastAsia" w:ascii="宋体" w:hAnsi="宋体" w:eastAsia="宋体" w:cs="宋体"/>
              <w:szCs w:val="28"/>
            </w:rPr>
            <w:t>4.1制度建设</w:t>
          </w:r>
          <w:r>
            <w:tab/>
          </w:r>
          <w:r>
            <w:fldChar w:fldCharType="begin"/>
          </w:r>
          <w:r>
            <w:instrText xml:space="preserve"> PAGEREF _Toc703 </w:instrText>
          </w:r>
          <w:r>
            <w:fldChar w:fldCharType="separate"/>
          </w:r>
          <w:r>
            <w:t>15</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_Toc28206 </w:instrText>
          </w:r>
          <w:r>
            <w:rPr>
              <w:rFonts w:hint="eastAsia" w:ascii="宋体" w:hAnsi="宋体" w:eastAsia="宋体" w:cs="宋体"/>
              <w:szCs w:val="24"/>
            </w:rPr>
            <w:fldChar w:fldCharType="separate"/>
          </w:r>
          <w:r>
            <w:rPr>
              <w:rFonts w:hint="eastAsia" w:ascii="宋体" w:hAnsi="宋体" w:eastAsia="宋体" w:cs="宋体"/>
              <w:szCs w:val="28"/>
            </w:rPr>
            <w:t>4.2师资保障</w:t>
          </w:r>
          <w:r>
            <w:tab/>
          </w:r>
          <w:r>
            <w:fldChar w:fldCharType="begin"/>
          </w:r>
          <w:r>
            <w:instrText xml:space="preserve"> PAGEREF _Toc28206 </w:instrText>
          </w:r>
          <w:r>
            <w:fldChar w:fldCharType="separate"/>
          </w:r>
          <w:r>
            <w:t>15</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_Toc32446 </w:instrText>
          </w:r>
          <w:r>
            <w:rPr>
              <w:rFonts w:hint="eastAsia" w:ascii="宋体" w:hAnsi="宋体" w:eastAsia="宋体" w:cs="宋体"/>
              <w:szCs w:val="24"/>
            </w:rPr>
            <w:fldChar w:fldCharType="separate"/>
          </w:r>
          <w:r>
            <w:rPr>
              <w:rFonts w:hint="eastAsia" w:ascii="宋体" w:hAnsi="宋体" w:eastAsia="宋体" w:cs="宋体"/>
              <w:szCs w:val="28"/>
            </w:rPr>
            <w:t>4.2.1师资结构</w:t>
          </w:r>
          <w:r>
            <w:tab/>
          </w:r>
          <w:r>
            <w:fldChar w:fldCharType="begin"/>
          </w:r>
          <w:r>
            <w:instrText xml:space="preserve"> PAGEREF _Toc32446 </w:instrText>
          </w:r>
          <w:r>
            <w:fldChar w:fldCharType="separate"/>
          </w:r>
          <w:r>
            <w:t>15</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_Toc2208 </w:instrText>
          </w:r>
          <w:r>
            <w:rPr>
              <w:rFonts w:hint="eastAsia" w:ascii="宋体" w:hAnsi="宋体" w:eastAsia="宋体" w:cs="宋体"/>
              <w:szCs w:val="24"/>
            </w:rPr>
            <w:fldChar w:fldCharType="separate"/>
          </w:r>
          <w:r>
            <w:rPr>
              <w:rFonts w:hint="eastAsia" w:ascii="宋体" w:hAnsi="宋体" w:eastAsia="宋体" w:cs="宋体"/>
              <w:szCs w:val="28"/>
            </w:rPr>
            <w:t>4.</w:t>
          </w:r>
          <w:r>
            <w:rPr>
              <w:rFonts w:hint="eastAsia" w:ascii="宋体" w:hAnsi="宋体" w:eastAsia="宋体" w:cs="宋体"/>
              <w:szCs w:val="28"/>
              <w:lang w:val="en-US" w:eastAsia="zh-CN"/>
            </w:rPr>
            <w:t>2</w:t>
          </w:r>
          <w:r>
            <w:rPr>
              <w:rFonts w:hint="eastAsia" w:ascii="宋体" w:hAnsi="宋体" w:eastAsia="宋体" w:cs="宋体"/>
              <w:szCs w:val="28"/>
            </w:rPr>
            <w:t>.</w:t>
          </w:r>
          <w:r>
            <w:rPr>
              <w:rFonts w:hint="eastAsia" w:ascii="宋体" w:hAnsi="宋体" w:eastAsia="宋体" w:cs="宋体"/>
              <w:szCs w:val="28"/>
              <w:lang w:val="en-US" w:eastAsia="zh-CN"/>
            </w:rPr>
            <w:t>2非学历教育师资</w:t>
          </w:r>
          <w:r>
            <w:tab/>
          </w:r>
          <w:r>
            <w:fldChar w:fldCharType="begin"/>
          </w:r>
          <w:r>
            <w:instrText xml:space="preserve"> PAGEREF _Toc2208 </w:instrText>
          </w:r>
          <w:r>
            <w:fldChar w:fldCharType="separate"/>
          </w:r>
          <w:r>
            <w:t>16</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_Toc23477 </w:instrText>
          </w:r>
          <w:r>
            <w:rPr>
              <w:rFonts w:hint="eastAsia" w:ascii="宋体" w:hAnsi="宋体" w:eastAsia="宋体" w:cs="宋体"/>
              <w:szCs w:val="24"/>
            </w:rPr>
            <w:fldChar w:fldCharType="separate"/>
          </w:r>
          <w:r>
            <w:rPr>
              <w:rFonts w:hint="eastAsia" w:ascii="宋体" w:hAnsi="宋体" w:eastAsia="宋体" w:cs="宋体"/>
              <w:szCs w:val="28"/>
            </w:rPr>
            <w:t>4.</w:t>
          </w:r>
          <w:r>
            <w:rPr>
              <w:rFonts w:hint="eastAsia" w:ascii="宋体" w:hAnsi="宋体" w:eastAsia="宋体" w:cs="宋体"/>
              <w:szCs w:val="28"/>
              <w:lang w:val="en-US" w:eastAsia="zh-CN"/>
            </w:rPr>
            <w:t>3资源建设</w:t>
          </w:r>
          <w:r>
            <w:tab/>
          </w:r>
          <w:r>
            <w:fldChar w:fldCharType="begin"/>
          </w:r>
          <w:r>
            <w:instrText xml:space="preserve"> PAGEREF _Toc23477 </w:instrText>
          </w:r>
          <w:r>
            <w:fldChar w:fldCharType="separate"/>
          </w:r>
          <w:r>
            <w:t>16</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_Toc26106 </w:instrText>
          </w:r>
          <w:r>
            <w:rPr>
              <w:rFonts w:hint="eastAsia" w:ascii="宋体" w:hAnsi="宋体" w:eastAsia="宋体" w:cs="宋体"/>
              <w:szCs w:val="24"/>
            </w:rPr>
            <w:fldChar w:fldCharType="separate"/>
          </w:r>
          <w:r>
            <w:rPr>
              <w:rFonts w:hint="eastAsia" w:ascii="宋体" w:hAnsi="宋体" w:eastAsia="宋体" w:cs="宋体"/>
              <w:szCs w:val="28"/>
            </w:rPr>
            <w:t>4.</w:t>
          </w:r>
          <w:r>
            <w:rPr>
              <w:rFonts w:hint="eastAsia" w:ascii="宋体" w:hAnsi="宋体" w:eastAsia="宋体" w:cs="宋体"/>
              <w:szCs w:val="28"/>
              <w:lang w:val="en-US" w:eastAsia="zh-CN"/>
            </w:rPr>
            <w:t>3</w:t>
          </w:r>
          <w:r>
            <w:rPr>
              <w:rFonts w:hint="eastAsia" w:ascii="宋体" w:hAnsi="宋体" w:eastAsia="宋体" w:cs="宋体"/>
              <w:szCs w:val="28"/>
            </w:rPr>
            <w:t>.</w:t>
          </w:r>
          <w:r>
            <w:rPr>
              <w:rFonts w:hint="eastAsia" w:ascii="宋体" w:hAnsi="宋体" w:eastAsia="宋体" w:cs="宋体"/>
              <w:szCs w:val="28"/>
              <w:lang w:val="en-US" w:eastAsia="zh-CN"/>
            </w:rPr>
            <w:t>1教材与数字化学习资源的总量</w:t>
          </w:r>
          <w:r>
            <w:tab/>
          </w:r>
          <w:r>
            <w:fldChar w:fldCharType="begin"/>
          </w:r>
          <w:r>
            <w:instrText xml:space="preserve"> PAGEREF _Toc26106 </w:instrText>
          </w:r>
          <w:r>
            <w:fldChar w:fldCharType="separate"/>
          </w:r>
          <w:r>
            <w:t>16</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_Toc31634 </w:instrText>
          </w:r>
          <w:r>
            <w:rPr>
              <w:rFonts w:hint="eastAsia" w:ascii="宋体" w:hAnsi="宋体" w:eastAsia="宋体" w:cs="宋体"/>
              <w:szCs w:val="24"/>
            </w:rPr>
            <w:fldChar w:fldCharType="separate"/>
          </w:r>
          <w:r>
            <w:rPr>
              <w:rFonts w:hint="eastAsia" w:ascii="宋体" w:hAnsi="宋体" w:eastAsia="宋体" w:cs="宋体"/>
              <w:szCs w:val="28"/>
            </w:rPr>
            <w:t>4.</w:t>
          </w:r>
          <w:r>
            <w:rPr>
              <w:rFonts w:hint="eastAsia" w:ascii="宋体" w:hAnsi="宋体" w:eastAsia="宋体" w:cs="宋体"/>
              <w:szCs w:val="28"/>
              <w:lang w:val="en-US" w:eastAsia="zh-CN"/>
            </w:rPr>
            <w:t>3</w:t>
          </w:r>
          <w:r>
            <w:rPr>
              <w:rFonts w:hint="eastAsia" w:ascii="宋体" w:hAnsi="宋体" w:eastAsia="宋体" w:cs="宋体"/>
              <w:szCs w:val="28"/>
            </w:rPr>
            <w:t>.</w:t>
          </w:r>
          <w:r>
            <w:rPr>
              <w:rFonts w:hint="eastAsia" w:ascii="宋体" w:hAnsi="宋体" w:eastAsia="宋体" w:cs="宋体"/>
              <w:szCs w:val="28"/>
              <w:lang w:val="en-US" w:eastAsia="zh-CN"/>
            </w:rPr>
            <w:t>2教材及数字化学习资源的新建情况</w:t>
          </w:r>
          <w:r>
            <w:tab/>
          </w:r>
          <w:r>
            <w:fldChar w:fldCharType="begin"/>
          </w:r>
          <w:r>
            <w:instrText xml:space="preserve"> PAGEREF _Toc31634 </w:instrText>
          </w:r>
          <w:r>
            <w:fldChar w:fldCharType="separate"/>
          </w:r>
          <w:r>
            <w:t>17</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_Toc8388 </w:instrText>
          </w:r>
          <w:r>
            <w:rPr>
              <w:rFonts w:hint="eastAsia" w:ascii="宋体" w:hAnsi="宋体" w:eastAsia="宋体" w:cs="宋体"/>
              <w:szCs w:val="24"/>
            </w:rPr>
            <w:fldChar w:fldCharType="separate"/>
          </w:r>
          <w:r>
            <w:rPr>
              <w:rFonts w:hint="eastAsia" w:ascii="宋体" w:hAnsi="宋体" w:eastAsia="宋体" w:cs="宋体"/>
              <w:szCs w:val="28"/>
            </w:rPr>
            <w:t>4.4设施设备</w:t>
          </w:r>
          <w:r>
            <w:tab/>
          </w:r>
          <w:r>
            <w:fldChar w:fldCharType="begin"/>
          </w:r>
          <w:r>
            <w:instrText xml:space="preserve"> PAGEREF _Toc8388 </w:instrText>
          </w:r>
          <w:r>
            <w:fldChar w:fldCharType="separate"/>
          </w:r>
          <w:r>
            <w:t>17</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_Toc13741 </w:instrText>
          </w:r>
          <w:r>
            <w:rPr>
              <w:rFonts w:hint="eastAsia" w:ascii="宋体" w:hAnsi="宋体" w:eastAsia="宋体" w:cs="宋体"/>
              <w:szCs w:val="24"/>
            </w:rPr>
            <w:fldChar w:fldCharType="separate"/>
          </w:r>
          <w:r>
            <w:rPr>
              <w:rFonts w:hint="eastAsia" w:ascii="宋体" w:hAnsi="宋体" w:eastAsia="宋体" w:cs="宋体"/>
              <w:szCs w:val="28"/>
            </w:rPr>
            <w:t>4.5合作办学及校外学习中心、教学点建设和管理情况</w:t>
          </w:r>
          <w:r>
            <w:tab/>
          </w:r>
          <w:r>
            <w:fldChar w:fldCharType="begin"/>
          </w:r>
          <w:r>
            <w:instrText xml:space="preserve"> PAGEREF _Toc13741 </w:instrText>
          </w:r>
          <w:r>
            <w:fldChar w:fldCharType="separate"/>
          </w:r>
          <w:r>
            <w:t>17</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_Toc1573 </w:instrText>
          </w:r>
          <w:r>
            <w:rPr>
              <w:rFonts w:hint="eastAsia" w:ascii="宋体" w:hAnsi="宋体" w:eastAsia="宋体" w:cs="宋体"/>
              <w:szCs w:val="24"/>
            </w:rPr>
            <w:fldChar w:fldCharType="separate"/>
          </w:r>
          <w:r>
            <w:rPr>
              <w:rFonts w:hint="eastAsia" w:ascii="宋体" w:hAnsi="宋体" w:eastAsia="宋体" w:cs="宋体"/>
              <w:szCs w:val="28"/>
            </w:rPr>
            <w:t>4.6学习支持服务</w:t>
          </w:r>
          <w:r>
            <w:tab/>
          </w:r>
          <w:r>
            <w:fldChar w:fldCharType="begin"/>
          </w:r>
          <w:r>
            <w:instrText xml:space="preserve"> PAGEREF _Toc1573 </w:instrText>
          </w:r>
          <w:r>
            <w:fldChar w:fldCharType="separate"/>
          </w:r>
          <w:r>
            <w:t>18</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_Toc20758 </w:instrText>
          </w:r>
          <w:r>
            <w:rPr>
              <w:rFonts w:hint="eastAsia" w:ascii="宋体" w:hAnsi="宋体" w:eastAsia="宋体" w:cs="宋体"/>
              <w:szCs w:val="24"/>
            </w:rPr>
            <w:fldChar w:fldCharType="separate"/>
          </w:r>
          <w:r>
            <w:rPr>
              <w:rFonts w:hint="eastAsia" w:ascii="宋体" w:hAnsi="宋体" w:eastAsia="宋体" w:cs="宋体"/>
              <w:szCs w:val="28"/>
            </w:rPr>
            <w:t>4.6.1学习支持服务体系建设</w:t>
          </w:r>
          <w:r>
            <w:tab/>
          </w:r>
          <w:r>
            <w:fldChar w:fldCharType="begin"/>
          </w:r>
          <w:r>
            <w:instrText xml:space="preserve"> PAGEREF _Toc20758 </w:instrText>
          </w:r>
          <w:r>
            <w:fldChar w:fldCharType="separate"/>
          </w:r>
          <w:r>
            <w:t>18</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_Toc15717 </w:instrText>
          </w:r>
          <w:r>
            <w:rPr>
              <w:rFonts w:hint="eastAsia" w:ascii="宋体" w:hAnsi="宋体" w:eastAsia="宋体" w:cs="宋体"/>
              <w:szCs w:val="24"/>
            </w:rPr>
            <w:fldChar w:fldCharType="separate"/>
          </w:r>
          <w:r>
            <w:rPr>
              <w:rFonts w:hint="eastAsia" w:ascii="宋体" w:hAnsi="宋体" w:eastAsia="宋体" w:cs="宋体"/>
              <w:szCs w:val="28"/>
            </w:rPr>
            <w:t>4.6.2学习支持服务信息化建设</w:t>
          </w:r>
          <w:r>
            <w:tab/>
          </w:r>
          <w:r>
            <w:fldChar w:fldCharType="begin"/>
          </w:r>
          <w:r>
            <w:instrText xml:space="preserve"> PAGEREF _Toc15717 </w:instrText>
          </w:r>
          <w:r>
            <w:fldChar w:fldCharType="separate"/>
          </w:r>
          <w:r>
            <w:t>18</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_Toc19081 </w:instrText>
          </w:r>
          <w:r>
            <w:rPr>
              <w:rFonts w:hint="eastAsia" w:ascii="宋体" w:hAnsi="宋体" w:eastAsia="宋体" w:cs="宋体"/>
              <w:szCs w:val="24"/>
            </w:rPr>
            <w:fldChar w:fldCharType="separate"/>
          </w:r>
          <w:r>
            <w:rPr>
              <w:rFonts w:hint="eastAsia" w:ascii="宋体" w:hAnsi="宋体" w:eastAsia="宋体" w:cs="宋体"/>
              <w:szCs w:val="28"/>
            </w:rPr>
            <w:t>4.7内部质量管理</w:t>
          </w:r>
          <w:r>
            <w:tab/>
          </w:r>
          <w:r>
            <w:fldChar w:fldCharType="begin"/>
          </w:r>
          <w:r>
            <w:instrText xml:space="preserve"> PAGEREF _Toc19081 </w:instrText>
          </w:r>
          <w:r>
            <w:fldChar w:fldCharType="separate"/>
          </w:r>
          <w:r>
            <w:t>19</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_Toc16537 </w:instrText>
          </w:r>
          <w:r>
            <w:rPr>
              <w:rFonts w:hint="eastAsia" w:ascii="宋体" w:hAnsi="宋体" w:eastAsia="宋体" w:cs="宋体"/>
              <w:szCs w:val="24"/>
            </w:rPr>
            <w:fldChar w:fldCharType="separate"/>
          </w:r>
          <w:r>
            <w:rPr>
              <w:rFonts w:hint="eastAsia" w:ascii="宋体" w:hAnsi="宋体" w:eastAsia="宋体" w:cs="宋体"/>
              <w:szCs w:val="28"/>
            </w:rPr>
            <w:t>4.7.1教学组织</w:t>
          </w:r>
          <w:r>
            <w:tab/>
          </w:r>
          <w:r>
            <w:fldChar w:fldCharType="begin"/>
          </w:r>
          <w:r>
            <w:instrText xml:space="preserve"> PAGEREF _Toc16537 </w:instrText>
          </w:r>
          <w:r>
            <w:fldChar w:fldCharType="separate"/>
          </w:r>
          <w:r>
            <w:t>19</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_Toc2785 </w:instrText>
          </w:r>
          <w:r>
            <w:rPr>
              <w:rFonts w:hint="eastAsia" w:ascii="宋体" w:hAnsi="宋体" w:eastAsia="宋体" w:cs="宋体"/>
              <w:szCs w:val="24"/>
            </w:rPr>
            <w:fldChar w:fldCharType="separate"/>
          </w:r>
          <w:r>
            <w:rPr>
              <w:rFonts w:hint="eastAsia" w:ascii="宋体" w:hAnsi="宋体" w:eastAsia="宋体" w:cs="宋体"/>
              <w:szCs w:val="28"/>
            </w:rPr>
            <w:t>4.7.2学生（学员）管理</w:t>
          </w:r>
          <w:r>
            <w:tab/>
          </w:r>
          <w:r>
            <w:fldChar w:fldCharType="begin"/>
          </w:r>
          <w:r>
            <w:instrText xml:space="preserve"> PAGEREF _Toc2785 </w:instrText>
          </w:r>
          <w:r>
            <w:fldChar w:fldCharType="separate"/>
          </w:r>
          <w:r>
            <w:t>20</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_Toc22474 </w:instrText>
          </w:r>
          <w:r>
            <w:rPr>
              <w:rFonts w:hint="eastAsia" w:ascii="宋体" w:hAnsi="宋体" w:eastAsia="宋体" w:cs="宋体"/>
              <w:szCs w:val="24"/>
            </w:rPr>
            <w:fldChar w:fldCharType="separate"/>
          </w:r>
          <w:r>
            <w:rPr>
              <w:rFonts w:hint="eastAsia" w:ascii="宋体" w:hAnsi="宋体" w:eastAsia="宋体" w:cs="宋体"/>
              <w:szCs w:val="28"/>
            </w:rPr>
            <w:t>4.7.3师资管理</w:t>
          </w:r>
          <w:r>
            <w:tab/>
          </w:r>
          <w:r>
            <w:fldChar w:fldCharType="begin"/>
          </w:r>
          <w:r>
            <w:instrText xml:space="preserve"> PAGEREF _Toc22474 </w:instrText>
          </w:r>
          <w:r>
            <w:fldChar w:fldCharType="separate"/>
          </w:r>
          <w:r>
            <w:t>21</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_Toc6719 </w:instrText>
          </w:r>
          <w:r>
            <w:rPr>
              <w:rFonts w:hint="eastAsia" w:ascii="宋体" w:hAnsi="宋体" w:eastAsia="宋体" w:cs="宋体"/>
              <w:szCs w:val="24"/>
            </w:rPr>
            <w:fldChar w:fldCharType="separate"/>
          </w:r>
          <w:r>
            <w:rPr>
              <w:rFonts w:hint="eastAsia" w:ascii="宋体" w:hAnsi="宋体" w:eastAsia="宋体" w:cs="宋体"/>
              <w:szCs w:val="28"/>
            </w:rPr>
            <w:t>4.8外部质量评估</w:t>
          </w:r>
          <w:r>
            <w:tab/>
          </w:r>
          <w:r>
            <w:fldChar w:fldCharType="begin"/>
          </w:r>
          <w:r>
            <w:instrText xml:space="preserve"> PAGEREF _Toc6719 </w:instrText>
          </w:r>
          <w:r>
            <w:fldChar w:fldCharType="separate"/>
          </w:r>
          <w:r>
            <w:t>21</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_Toc4612 </w:instrText>
          </w:r>
          <w:r>
            <w:rPr>
              <w:rFonts w:hint="eastAsia" w:ascii="宋体" w:hAnsi="宋体" w:eastAsia="宋体" w:cs="宋体"/>
              <w:szCs w:val="24"/>
            </w:rPr>
            <w:fldChar w:fldCharType="separate"/>
          </w:r>
          <w:r>
            <w:rPr>
              <w:rFonts w:hint="eastAsia" w:ascii="宋体" w:hAnsi="宋体" w:eastAsia="宋体" w:cs="宋体"/>
              <w:szCs w:val="28"/>
            </w:rPr>
            <w:t>4.9 信息化建设</w:t>
          </w:r>
          <w:r>
            <w:tab/>
          </w:r>
          <w:r>
            <w:fldChar w:fldCharType="begin"/>
          </w:r>
          <w:r>
            <w:instrText xml:space="preserve"> PAGEREF _Toc4612 </w:instrText>
          </w:r>
          <w:r>
            <w:fldChar w:fldCharType="separate"/>
          </w:r>
          <w:r>
            <w:t>21</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_Toc32058 </w:instrText>
          </w:r>
          <w:r>
            <w:rPr>
              <w:rFonts w:hint="eastAsia" w:ascii="宋体" w:hAnsi="宋体" w:eastAsia="宋体" w:cs="宋体"/>
              <w:szCs w:val="24"/>
            </w:rPr>
            <w:fldChar w:fldCharType="separate"/>
          </w:r>
          <w:r>
            <w:rPr>
              <w:rFonts w:hint="eastAsia" w:ascii="宋体" w:hAnsi="宋体" w:eastAsia="宋体" w:cs="宋体"/>
              <w:szCs w:val="28"/>
            </w:rPr>
            <w:t>4.9.1教学信息化建设</w:t>
          </w:r>
          <w:r>
            <w:tab/>
          </w:r>
          <w:r>
            <w:fldChar w:fldCharType="begin"/>
          </w:r>
          <w:r>
            <w:instrText xml:space="preserve"> PAGEREF _Toc32058 </w:instrText>
          </w:r>
          <w:r>
            <w:fldChar w:fldCharType="separate"/>
          </w:r>
          <w:r>
            <w:t>21</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_Toc21557 </w:instrText>
          </w:r>
          <w:r>
            <w:rPr>
              <w:rFonts w:hint="eastAsia" w:ascii="宋体" w:hAnsi="宋体" w:eastAsia="宋体" w:cs="宋体"/>
              <w:szCs w:val="24"/>
            </w:rPr>
            <w:fldChar w:fldCharType="separate"/>
          </w:r>
          <w:r>
            <w:rPr>
              <w:rFonts w:hint="eastAsia" w:ascii="宋体" w:hAnsi="宋体" w:eastAsia="宋体" w:cs="宋体"/>
              <w:szCs w:val="28"/>
            </w:rPr>
            <w:t>4.9.2管理信息化建设</w:t>
          </w:r>
          <w:r>
            <w:tab/>
          </w:r>
          <w:r>
            <w:fldChar w:fldCharType="begin"/>
          </w:r>
          <w:r>
            <w:instrText xml:space="preserve"> PAGEREF _Toc21557 </w:instrText>
          </w:r>
          <w:r>
            <w:fldChar w:fldCharType="separate"/>
          </w:r>
          <w:r>
            <w:t>22</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_Toc5340 </w:instrText>
          </w:r>
          <w:r>
            <w:rPr>
              <w:rFonts w:hint="eastAsia" w:ascii="宋体" w:hAnsi="宋体" w:eastAsia="宋体" w:cs="宋体"/>
              <w:szCs w:val="24"/>
            </w:rPr>
            <w:fldChar w:fldCharType="separate"/>
          </w:r>
          <w:r>
            <w:rPr>
              <w:rFonts w:hint="eastAsia" w:ascii="宋体" w:hAnsi="宋体" w:eastAsia="宋体" w:cs="宋体"/>
              <w:szCs w:val="28"/>
            </w:rPr>
            <w:t>4.9.3服务信息化建设</w:t>
          </w:r>
          <w:r>
            <w:tab/>
          </w:r>
          <w:r>
            <w:fldChar w:fldCharType="begin"/>
          </w:r>
          <w:r>
            <w:instrText xml:space="preserve"> PAGEREF _Toc5340 </w:instrText>
          </w:r>
          <w:r>
            <w:fldChar w:fldCharType="separate"/>
          </w:r>
          <w:r>
            <w:t>22</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_Toc5070 </w:instrText>
          </w:r>
          <w:r>
            <w:rPr>
              <w:rFonts w:hint="eastAsia" w:ascii="宋体" w:hAnsi="宋体" w:eastAsia="宋体" w:cs="宋体"/>
              <w:szCs w:val="24"/>
            </w:rPr>
            <w:fldChar w:fldCharType="separate"/>
          </w:r>
          <w:r>
            <w:rPr>
              <w:rFonts w:hint="eastAsia" w:ascii="宋体" w:hAnsi="宋体" w:eastAsia="宋体" w:cs="宋体"/>
              <w:szCs w:val="28"/>
            </w:rPr>
            <w:t>4.10经费保障</w:t>
          </w:r>
          <w:r>
            <w:tab/>
          </w:r>
          <w:r>
            <w:fldChar w:fldCharType="begin"/>
          </w:r>
          <w:r>
            <w:instrText xml:space="preserve"> PAGEREF _Toc5070 </w:instrText>
          </w:r>
          <w:r>
            <w:fldChar w:fldCharType="separate"/>
          </w:r>
          <w:r>
            <w:t>22</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_Toc24374 </w:instrText>
          </w:r>
          <w:r>
            <w:rPr>
              <w:rFonts w:hint="eastAsia" w:ascii="宋体" w:hAnsi="宋体" w:eastAsia="宋体" w:cs="宋体"/>
              <w:szCs w:val="24"/>
            </w:rPr>
            <w:fldChar w:fldCharType="separate"/>
          </w:r>
          <w:r>
            <w:rPr>
              <w:rFonts w:hint="eastAsia" w:ascii="宋体" w:hAnsi="宋体" w:eastAsia="宋体" w:cs="宋体"/>
              <w:szCs w:val="28"/>
            </w:rPr>
            <w:t>4.10.1收入情况</w:t>
          </w:r>
          <w:r>
            <w:tab/>
          </w:r>
          <w:r>
            <w:fldChar w:fldCharType="begin"/>
          </w:r>
          <w:r>
            <w:instrText xml:space="preserve"> PAGEREF _Toc24374 </w:instrText>
          </w:r>
          <w:r>
            <w:fldChar w:fldCharType="separate"/>
          </w:r>
          <w:r>
            <w:t>22</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_Toc17268 </w:instrText>
          </w:r>
          <w:r>
            <w:rPr>
              <w:rFonts w:hint="eastAsia" w:ascii="宋体" w:hAnsi="宋体" w:eastAsia="宋体" w:cs="宋体"/>
              <w:szCs w:val="24"/>
            </w:rPr>
            <w:fldChar w:fldCharType="separate"/>
          </w:r>
          <w:r>
            <w:rPr>
              <w:rFonts w:hint="eastAsia" w:ascii="宋体" w:hAnsi="宋体" w:eastAsia="宋体" w:cs="宋体"/>
              <w:szCs w:val="28"/>
            </w:rPr>
            <w:t>4.10.2使用情况</w:t>
          </w:r>
          <w:r>
            <w:tab/>
          </w:r>
          <w:r>
            <w:fldChar w:fldCharType="begin"/>
          </w:r>
          <w:r>
            <w:instrText xml:space="preserve"> PAGEREF _Toc17268 </w:instrText>
          </w:r>
          <w:r>
            <w:fldChar w:fldCharType="separate"/>
          </w:r>
          <w:r>
            <w:t>22</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_Toc9673 </w:instrText>
          </w:r>
          <w:r>
            <w:rPr>
              <w:rFonts w:hint="eastAsia" w:ascii="宋体" w:hAnsi="宋体" w:eastAsia="宋体" w:cs="宋体"/>
              <w:szCs w:val="24"/>
            </w:rPr>
            <w:fldChar w:fldCharType="separate"/>
          </w:r>
          <w:r>
            <w:rPr>
              <w:rFonts w:hint="eastAsia" w:ascii="宋体" w:hAnsi="宋体" w:eastAsia="宋体" w:cs="宋体"/>
              <w:szCs w:val="28"/>
            </w:rPr>
            <w:t>5.社会贡献</w:t>
          </w:r>
          <w:r>
            <w:tab/>
          </w:r>
          <w:r>
            <w:fldChar w:fldCharType="begin"/>
          </w:r>
          <w:r>
            <w:instrText xml:space="preserve"> PAGEREF _Toc9673 </w:instrText>
          </w:r>
          <w:r>
            <w:fldChar w:fldCharType="separate"/>
          </w:r>
          <w:r>
            <w:t>23</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_Toc27214 </w:instrText>
          </w:r>
          <w:r>
            <w:rPr>
              <w:rFonts w:hint="eastAsia" w:ascii="宋体" w:hAnsi="宋体" w:eastAsia="宋体" w:cs="宋体"/>
              <w:szCs w:val="24"/>
            </w:rPr>
            <w:fldChar w:fldCharType="separate"/>
          </w:r>
          <w:r>
            <w:rPr>
              <w:rFonts w:hint="eastAsia" w:ascii="宋体" w:hAnsi="宋体" w:eastAsia="宋体" w:cs="宋体"/>
              <w:szCs w:val="28"/>
            </w:rPr>
            <w:t>5.1继续教育服务国家战略、行业及经济社会发展与学习型社会建设情况</w:t>
          </w:r>
          <w:r>
            <w:tab/>
          </w:r>
          <w:r>
            <w:fldChar w:fldCharType="begin"/>
          </w:r>
          <w:r>
            <w:instrText xml:space="preserve"> PAGEREF _Toc27214 </w:instrText>
          </w:r>
          <w:r>
            <w:fldChar w:fldCharType="separate"/>
          </w:r>
          <w:r>
            <w:t>23</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_Toc20513 </w:instrText>
          </w:r>
          <w:r>
            <w:rPr>
              <w:rFonts w:hint="eastAsia" w:ascii="宋体" w:hAnsi="宋体" w:eastAsia="宋体" w:cs="宋体"/>
              <w:szCs w:val="24"/>
            </w:rPr>
            <w:fldChar w:fldCharType="separate"/>
          </w:r>
          <w:r>
            <w:rPr>
              <w:rFonts w:hint="eastAsia" w:ascii="宋体" w:hAnsi="宋体" w:eastAsia="宋体" w:cs="宋体"/>
              <w:szCs w:val="28"/>
            </w:rPr>
            <w:t>5.2继续教育资源面向校内、社会开放情况</w:t>
          </w:r>
          <w:r>
            <w:tab/>
          </w:r>
          <w:r>
            <w:fldChar w:fldCharType="begin"/>
          </w:r>
          <w:r>
            <w:instrText xml:space="preserve"> PAGEREF _Toc20513 </w:instrText>
          </w:r>
          <w:r>
            <w:fldChar w:fldCharType="separate"/>
          </w:r>
          <w:r>
            <w:t>23</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_Toc25267 </w:instrText>
          </w:r>
          <w:r>
            <w:rPr>
              <w:rFonts w:hint="eastAsia" w:ascii="宋体" w:hAnsi="宋体" w:eastAsia="宋体" w:cs="宋体"/>
              <w:szCs w:val="24"/>
            </w:rPr>
            <w:fldChar w:fldCharType="separate"/>
          </w:r>
          <w:r>
            <w:rPr>
              <w:rFonts w:hint="eastAsia" w:ascii="宋体" w:hAnsi="宋体" w:eastAsia="宋体" w:cs="宋体"/>
              <w:szCs w:val="28"/>
            </w:rPr>
            <w:t>5.3</w:t>
          </w:r>
          <w:r>
            <w:rPr>
              <w:rFonts w:hint="eastAsia" w:ascii="宋体" w:hAnsi="宋体" w:eastAsia="宋体" w:cs="宋体"/>
              <w:szCs w:val="28"/>
              <w:lang w:eastAsia="zh-CN"/>
            </w:rPr>
            <w:t>暂无</w:t>
          </w:r>
          <w:r>
            <w:rPr>
              <w:rFonts w:hint="eastAsia" w:ascii="宋体" w:hAnsi="宋体" w:eastAsia="宋体" w:cs="宋体"/>
              <w:szCs w:val="28"/>
            </w:rPr>
            <w:t>对口支援、教育帮扶</w:t>
          </w:r>
          <w:r>
            <w:rPr>
              <w:rFonts w:hint="eastAsia" w:ascii="宋体" w:hAnsi="宋体" w:eastAsia="宋体" w:cs="宋体"/>
              <w:szCs w:val="28"/>
              <w:lang w:eastAsia="zh-CN"/>
            </w:rPr>
            <w:t>情况</w:t>
          </w:r>
          <w:r>
            <w:tab/>
          </w:r>
          <w:r>
            <w:fldChar w:fldCharType="begin"/>
          </w:r>
          <w:r>
            <w:instrText xml:space="preserve"> PAGEREF _Toc25267 </w:instrText>
          </w:r>
          <w:r>
            <w:fldChar w:fldCharType="separate"/>
          </w:r>
          <w:r>
            <w:t>23</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_Toc1101 </w:instrText>
          </w:r>
          <w:r>
            <w:rPr>
              <w:rFonts w:hint="eastAsia" w:ascii="宋体" w:hAnsi="宋体" w:eastAsia="宋体" w:cs="宋体"/>
              <w:szCs w:val="24"/>
            </w:rPr>
            <w:fldChar w:fldCharType="separate"/>
          </w:r>
          <w:r>
            <w:rPr>
              <w:rFonts w:hint="eastAsia" w:ascii="宋体" w:hAnsi="宋体" w:eastAsia="宋体" w:cs="宋体"/>
              <w:szCs w:val="28"/>
            </w:rPr>
            <w:t>6.特色创新</w:t>
          </w:r>
          <w:r>
            <w:tab/>
          </w:r>
          <w:r>
            <w:fldChar w:fldCharType="begin"/>
          </w:r>
          <w:r>
            <w:instrText xml:space="preserve"> PAGEREF _Toc1101 </w:instrText>
          </w:r>
          <w:r>
            <w:fldChar w:fldCharType="separate"/>
          </w:r>
          <w:r>
            <w:t>23</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_Toc25405 </w:instrText>
          </w:r>
          <w:r>
            <w:rPr>
              <w:rFonts w:hint="eastAsia" w:ascii="宋体" w:hAnsi="宋体" w:eastAsia="宋体" w:cs="宋体"/>
              <w:szCs w:val="24"/>
            </w:rPr>
            <w:fldChar w:fldCharType="separate"/>
          </w:r>
          <w:r>
            <w:rPr>
              <w:rFonts w:hint="eastAsia" w:ascii="宋体" w:hAnsi="宋体" w:eastAsia="宋体" w:cs="宋体"/>
              <w:szCs w:val="28"/>
            </w:rPr>
            <w:t>6.1实践特色与模式创新</w:t>
          </w:r>
          <w:r>
            <w:tab/>
          </w:r>
          <w:r>
            <w:fldChar w:fldCharType="begin"/>
          </w:r>
          <w:r>
            <w:instrText xml:space="preserve"> PAGEREF _Toc25405 </w:instrText>
          </w:r>
          <w:r>
            <w:fldChar w:fldCharType="separate"/>
          </w:r>
          <w:r>
            <w:t>23</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_Toc19487 </w:instrText>
          </w:r>
          <w:r>
            <w:rPr>
              <w:rFonts w:hint="eastAsia" w:ascii="宋体" w:hAnsi="宋体" w:eastAsia="宋体" w:cs="宋体"/>
              <w:szCs w:val="24"/>
            </w:rPr>
            <w:fldChar w:fldCharType="separate"/>
          </w:r>
          <w:r>
            <w:rPr>
              <w:rFonts w:hint="eastAsia" w:ascii="宋体" w:hAnsi="宋体" w:eastAsia="宋体" w:cs="宋体"/>
              <w:szCs w:val="28"/>
            </w:rPr>
            <w:t>6.1.1实践特色</w:t>
          </w:r>
          <w:r>
            <w:tab/>
          </w:r>
          <w:r>
            <w:fldChar w:fldCharType="begin"/>
          </w:r>
          <w:r>
            <w:instrText xml:space="preserve"> PAGEREF _Toc19487 </w:instrText>
          </w:r>
          <w:r>
            <w:fldChar w:fldCharType="separate"/>
          </w:r>
          <w:r>
            <w:t>23</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_Toc19860 </w:instrText>
          </w:r>
          <w:r>
            <w:rPr>
              <w:rFonts w:hint="eastAsia" w:ascii="宋体" w:hAnsi="宋体" w:eastAsia="宋体" w:cs="宋体"/>
              <w:szCs w:val="24"/>
            </w:rPr>
            <w:fldChar w:fldCharType="separate"/>
          </w:r>
          <w:r>
            <w:rPr>
              <w:rFonts w:hint="eastAsia" w:ascii="宋体" w:hAnsi="宋体" w:eastAsia="宋体" w:cs="宋体"/>
              <w:szCs w:val="28"/>
            </w:rPr>
            <w:t>6.1.2模式创新</w:t>
          </w:r>
          <w:r>
            <w:tab/>
          </w:r>
          <w:r>
            <w:fldChar w:fldCharType="begin"/>
          </w:r>
          <w:r>
            <w:instrText xml:space="preserve"> PAGEREF _Toc19860 </w:instrText>
          </w:r>
          <w:r>
            <w:fldChar w:fldCharType="separate"/>
          </w:r>
          <w:r>
            <w:t>24</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_Toc27988 </w:instrText>
          </w:r>
          <w:r>
            <w:rPr>
              <w:rFonts w:hint="eastAsia" w:ascii="宋体" w:hAnsi="宋体" w:eastAsia="宋体" w:cs="宋体"/>
              <w:szCs w:val="24"/>
            </w:rPr>
            <w:fldChar w:fldCharType="separate"/>
          </w:r>
          <w:r>
            <w:rPr>
              <w:rFonts w:hint="eastAsia" w:ascii="宋体" w:hAnsi="宋体" w:eastAsia="宋体" w:cs="宋体"/>
              <w:szCs w:val="28"/>
            </w:rPr>
            <w:t>6.2国际交流与合作情况</w:t>
          </w:r>
          <w:r>
            <w:tab/>
          </w:r>
          <w:r>
            <w:fldChar w:fldCharType="begin"/>
          </w:r>
          <w:r>
            <w:instrText xml:space="preserve"> PAGEREF _Toc27988 </w:instrText>
          </w:r>
          <w:r>
            <w:fldChar w:fldCharType="separate"/>
          </w:r>
          <w:r>
            <w:t>24</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_Toc22635 </w:instrText>
          </w:r>
          <w:r>
            <w:rPr>
              <w:rFonts w:hint="eastAsia" w:ascii="宋体" w:hAnsi="宋体" w:eastAsia="宋体" w:cs="宋体"/>
              <w:szCs w:val="24"/>
            </w:rPr>
            <w:fldChar w:fldCharType="separate"/>
          </w:r>
          <w:r>
            <w:rPr>
              <w:rFonts w:hint="eastAsia" w:ascii="宋体" w:hAnsi="宋体" w:eastAsia="宋体" w:cs="宋体"/>
              <w:szCs w:val="28"/>
            </w:rPr>
            <w:t>6.2.1引进来的交流与合作</w:t>
          </w:r>
          <w:r>
            <w:tab/>
          </w:r>
          <w:r>
            <w:fldChar w:fldCharType="begin"/>
          </w:r>
          <w:r>
            <w:instrText xml:space="preserve"> PAGEREF _Toc22635 </w:instrText>
          </w:r>
          <w:r>
            <w:fldChar w:fldCharType="separate"/>
          </w:r>
          <w:r>
            <w:t>24</w:t>
          </w:r>
          <w:r>
            <w:fldChar w:fldCharType="end"/>
          </w:r>
          <w:r>
            <w:rPr>
              <w:rFonts w:hint="eastAsia" w:ascii="宋体" w:hAnsi="宋体" w:eastAsia="宋体" w:cs="宋体"/>
              <w:szCs w:val="24"/>
            </w:rPr>
            <w:fldChar w:fldCharType="end"/>
          </w:r>
        </w:p>
        <w:p>
          <w:pPr>
            <w:pStyle w:val="7"/>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_Toc21523 </w:instrText>
          </w:r>
          <w:r>
            <w:rPr>
              <w:rFonts w:hint="eastAsia" w:ascii="宋体" w:hAnsi="宋体" w:eastAsia="宋体" w:cs="宋体"/>
              <w:szCs w:val="24"/>
            </w:rPr>
            <w:fldChar w:fldCharType="separate"/>
          </w:r>
          <w:r>
            <w:rPr>
              <w:rFonts w:hint="eastAsia" w:ascii="宋体" w:hAnsi="宋体" w:eastAsia="宋体" w:cs="宋体"/>
              <w:szCs w:val="28"/>
            </w:rPr>
            <w:t>6.2.2走出去的交流与合作</w:t>
          </w:r>
          <w:r>
            <w:tab/>
          </w:r>
          <w:r>
            <w:fldChar w:fldCharType="begin"/>
          </w:r>
          <w:r>
            <w:instrText xml:space="preserve"> PAGEREF _Toc21523 </w:instrText>
          </w:r>
          <w:r>
            <w:fldChar w:fldCharType="separate"/>
          </w:r>
          <w:r>
            <w:t>25</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_Toc5762 </w:instrText>
          </w:r>
          <w:r>
            <w:rPr>
              <w:rFonts w:hint="eastAsia" w:ascii="宋体" w:hAnsi="宋体" w:eastAsia="宋体" w:cs="宋体"/>
              <w:szCs w:val="24"/>
            </w:rPr>
            <w:fldChar w:fldCharType="separate"/>
          </w:r>
          <w:r>
            <w:rPr>
              <w:rFonts w:hint="eastAsia" w:ascii="宋体" w:hAnsi="宋体" w:eastAsia="宋体" w:cs="宋体"/>
              <w:szCs w:val="28"/>
            </w:rPr>
            <w:t>6.3教育教学研究成果</w:t>
          </w:r>
          <w:r>
            <w:tab/>
          </w:r>
          <w:r>
            <w:fldChar w:fldCharType="begin"/>
          </w:r>
          <w:r>
            <w:instrText xml:space="preserve"> PAGEREF _Toc5762 </w:instrText>
          </w:r>
          <w:r>
            <w:fldChar w:fldCharType="separate"/>
          </w:r>
          <w:r>
            <w:t>26</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_Toc10863 </w:instrText>
          </w:r>
          <w:r>
            <w:rPr>
              <w:rFonts w:hint="eastAsia" w:ascii="宋体" w:hAnsi="宋体" w:eastAsia="宋体" w:cs="宋体"/>
              <w:szCs w:val="24"/>
            </w:rPr>
            <w:fldChar w:fldCharType="separate"/>
          </w:r>
          <w:r>
            <w:rPr>
              <w:rFonts w:hint="eastAsia" w:ascii="宋体" w:hAnsi="宋体" w:eastAsia="宋体" w:cs="宋体"/>
              <w:szCs w:val="28"/>
            </w:rPr>
            <w:t>7.问题挑战</w:t>
          </w:r>
          <w:r>
            <w:tab/>
          </w:r>
          <w:r>
            <w:fldChar w:fldCharType="begin"/>
          </w:r>
          <w:r>
            <w:instrText xml:space="preserve"> PAGEREF _Toc10863 </w:instrText>
          </w:r>
          <w:r>
            <w:fldChar w:fldCharType="separate"/>
          </w:r>
          <w:r>
            <w:t>26</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_Toc10928 </w:instrText>
          </w:r>
          <w:r>
            <w:rPr>
              <w:rFonts w:hint="eastAsia" w:ascii="宋体" w:hAnsi="宋体" w:eastAsia="宋体" w:cs="宋体"/>
              <w:szCs w:val="24"/>
            </w:rPr>
            <w:fldChar w:fldCharType="separate"/>
          </w:r>
          <w:r>
            <w:rPr>
              <w:rFonts w:hint="eastAsia" w:ascii="宋体" w:hAnsi="宋体" w:eastAsia="宋体" w:cs="宋体"/>
              <w:szCs w:val="28"/>
            </w:rPr>
            <w:t>7.1面对的新挑战、新需求</w:t>
          </w:r>
          <w:r>
            <w:tab/>
          </w:r>
          <w:r>
            <w:fldChar w:fldCharType="begin"/>
          </w:r>
          <w:r>
            <w:instrText xml:space="preserve"> PAGEREF _Toc10928 </w:instrText>
          </w:r>
          <w:r>
            <w:fldChar w:fldCharType="separate"/>
          </w:r>
          <w:r>
            <w:t>26</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_Toc19648 </w:instrText>
          </w:r>
          <w:r>
            <w:rPr>
              <w:rFonts w:hint="eastAsia" w:ascii="宋体" w:hAnsi="宋体" w:eastAsia="宋体" w:cs="宋体"/>
              <w:szCs w:val="24"/>
            </w:rPr>
            <w:fldChar w:fldCharType="separate"/>
          </w:r>
          <w:r>
            <w:rPr>
              <w:rFonts w:hint="eastAsia" w:ascii="宋体" w:hAnsi="宋体" w:eastAsia="宋体" w:cs="宋体"/>
              <w:szCs w:val="28"/>
            </w:rPr>
            <w:t>7.2存在的主要问题及原因</w:t>
          </w:r>
          <w:r>
            <w:tab/>
          </w:r>
          <w:r>
            <w:fldChar w:fldCharType="begin"/>
          </w:r>
          <w:r>
            <w:instrText xml:space="preserve"> PAGEREF _Toc19648 </w:instrText>
          </w:r>
          <w:r>
            <w:fldChar w:fldCharType="separate"/>
          </w:r>
          <w:r>
            <w:t>26</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_Toc14658 </w:instrText>
          </w:r>
          <w:r>
            <w:rPr>
              <w:rFonts w:hint="eastAsia" w:ascii="宋体" w:hAnsi="宋体" w:eastAsia="宋体" w:cs="宋体"/>
              <w:szCs w:val="24"/>
            </w:rPr>
            <w:fldChar w:fldCharType="separate"/>
          </w:r>
          <w:r>
            <w:rPr>
              <w:rFonts w:hint="eastAsia" w:ascii="宋体" w:hAnsi="宋体" w:eastAsia="宋体" w:cs="宋体"/>
              <w:szCs w:val="28"/>
            </w:rPr>
            <w:t>8.对策建议</w:t>
          </w:r>
          <w:r>
            <w:tab/>
          </w:r>
          <w:r>
            <w:fldChar w:fldCharType="begin"/>
          </w:r>
          <w:r>
            <w:instrText xml:space="preserve"> PAGEREF _Toc14658 </w:instrText>
          </w:r>
          <w:r>
            <w:fldChar w:fldCharType="separate"/>
          </w:r>
          <w:r>
            <w:t>26</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_Toc2587 </w:instrText>
          </w:r>
          <w:r>
            <w:rPr>
              <w:rFonts w:hint="eastAsia" w:ascii="宋体" w:hAnsi="宋体" w:eastAsia="宋体" w:cs="宋体"/>
              <w:szCs w:val="24"/>
            </w:rPr>
            <w:fldChar w:fldCharType="separate"/>
          </w:r>
          <w:r>
            <w:rPr>
              <w:rFonts w:hint="eastAsia" w:ascii="宋体" w:hAnsi="宋体" w:eastAsia="宋体" w:cs="宋体"/>
              <w:szCs w:val="28"/>
            </w:rPr>
            <w:t>8.1发展思路</w:t>
          </w:r>
          <w:r>
            <w:tab/>
          </w:r>
          <w:r>
            <w:fldChar w:fldCharType="begin"/>
          </w:r>
          <w:r>
            <w:instrText xml:space="preserve"> PAGEREF _Toc2587 </w:instrText>
          </w:r>
          <w:r>
            <w:fldChar w:fldCharType="separate"/>
          </w:r>
          <w:r>
            <w:t>26</w:t>
          </w:r>
          <w:r>
            <w:fldChar w:fldCharType="end"/>
          </w:r>
          <w:r>
            <w:rPr>
              <w:rFonts w:hint="eastAsia" w:ascii="宋体" w:hAnsi="宋体" w:eastAsia="宋体" w:cs="宋体"/>
              <w:szCs w:val="24"/>
            </w:rPr>
            <w:fldChar w:fldCharType="end"/>
          </w:r>
        </w:p>
        <w:p>
          <w:pPr>
            <w:pStyle w:val="11"/>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_Toc26918 </w:instrText>
          </w:r>
          <w:r>
            <w:rPr>
              <w:rFonts w:hint="eastAsia" w:ascii="宋体" w:hAnsi="宋体" w:eastAsia="宋体" w:cs="宋体"/>
              <w:szCs w:val="24"/>
            </w:rPr>
            <w:fldChar w:fldCharType="separate"/>
          </w:r>
          <w:r>
            <w:rPr>
              <w:rFonts w:hint="eastAsia" w:ascii="宋体" w:hAnsi="宋体" w:eastAsia="宋体" w:cs="宋体"/>
              <w:szCs w:val="28"/>
            </w:rPr>
            <w:t>8.2政策建议</w:t>
          </w:r>
          <w:r>
            <w:tab/>
          </w:r>
          <w:r>
            <w:fldChar w:fldCharType="begin"/>
          </w:r>
          <w:r>
            <w:instrText xml:space="preserve"> PAGEREF _Toc26918 </w:instrText>
          </w:r>
          <w:r>
            <w:fldChar w:fldCharType="separate"/>
          </w:r>
          <w:r>
            <w:t>26</w:t>
          </w:r>
          <w:r>
            <w:fldChar w:fldCharType="end"/>
          </w:r>
          <w:r>
            <w:rPr>
              <w:rFonts w:hint="eastAsia" w:ascii="宋体" w:hAnsi="宋体" w:eastAsia="宋体" w:cs="宋体"/>
              <w:szCs w:val="24"/>
            </w:rPr>
            <w:fldChar w:fldCharType="end"/>
          </w:r>
        </w:p>
        <w:p>
          <w:pPr>
            <w:widowControl/>
            <w:rPr>
              <w:rFonts w:hint="eastAsia" w:ascii="宋体" w:hAnsi="宋体" w:eastAsia="宋体" w:cs="宋体"/>
              <w:b/>
              <w:sz w:val="24"/>
              <w:szCs w:val="24"/>
            </w:rPr>
          </w:pPr>
          <w:r>
            <w:rPr>
              <w:rFonts w:hint="eastAsia" w:ascii="宋体" w:hAnsi="宋体" w:eastAsia="宋体" w:cs="宋体"/>
              <w:szCs w:val="24"/>
            </w:rPr>
            <w:fldChar w:fldCharType="end"/>
          </w:r>
        </w:p>
      </w:sdtContent>
    </w:sdt>
    <w:p>
      <w:pPr>
        <w:rPr>
          <w:rFonts w:hint="eastAsia" w:ascii="宋体" w:hAnsi="宋体" w:eastAsia="宋体" w:cs="宋体"/>
        </w:rPr>
        <w:sectPr>
          <w:footerReference r:id="rId3"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0"/>
        <w:rPr>
          <w:rFonts w:hint="eastAsia" w:ascii="宋体" w:hAnsi="宋体" w:eastAsia="宋体" w:cs="宋体"/>
          <w:b/>
          <w:color w:val="000000" w:themeColor="text1"/>
          <w:sz w:val="28"/>
          <w:szCs w:val="28"/>
          <w14:textFill>
            <w14:solidFill>
              <w14:schemeClr w14:val="tx1"/>
            </w14:solidFill>
          </w14:textFill>
        </w:rPr>
      </w:pPr>
      <w:bookmarkStart w:id="2" w:name="_Toc8999"/>
      <w:r>
        <w:rPr>
          <w:rFonts w:hint="eastAsia" w:ascii="宋体" w:hAnsi="宋体" w:eastAsia="宋体" w:cs="宋体"/>
          <w:b/>
          <w:color w:val="000000" w:themeColor="text1"/>
          <w:sz w:val="28"/>
          <w:szCs w:val="28"/>
          <w14:textFill>
            <w14:solidFill>
              <w14:schemeClr w14:val="tx1"/>
            </w14:solidFill>
          </w14:textFill>
        </w:rPr>
        <w:t>1.学校情况</w:t>
      </w:r>
      <w:bookmarkEnd w:id="2"/>
    </w:p>
    <w:p>
      <w:pPr>
        <w:spacing w:line="360" w:lineRule="auto"/>
        <w:ind w:firstLine="562" w:firstLineChars="200"/>
        <w:outlineLvl w:val="1"/>
        <w:rPr>
          <w:rFonts w:hint="eastAsia" w:ascii="宋体" w:hAnsi="宋体" w:eastAsia="宋体" w:cs="宋体"/>
          <w:b/>
          <w:color w:val="000000" w:themeColor="text1"/>
          <w:sz w:val="28"/>
          <w:szCs w:val="28"/>
          <w14:textFill>
            <w14:solidFill>
              <w14:schemeClr w14:val="tx1"/>
            </w14:solidFill>
          </w14:textFill>
        </w:rPr>
      </w:pPr>
      <w:bookmarkStart w:id="3" w:name="_Toc8391"/>
      <w:r>
        <w:rPr>
          <w:rFonts w:hint="eastAsia" w:ascii="宋体" w:hAnsi="宋体" w:eastAsia="宋体" w:cs="宋体"/>
          <w:b/>
          <w:color w:val="000000" w:themeColor="text1"/>
          <w:sz w:val="28"/>
          <w:szCs w:val="28"/>
          <w14:textFill>
            <w14:solidFill>
              <w14:schemeClr w14:val="tx1"/>
            </w14:solidFill>
          </w14:textFill>
        </w:rPr>
        <w:t>1.1学校概况</w:t>
      </w:r>
      <w:bookmarkEnd w:id="3"/>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湖南外贸职业学院位于长沙市望城区丁字湾街道外贸路，占地面积 706亩，现有在校学生 10000 余人，教职员工500余人，其前身是1954年创建的省粮食学校和1978年创建的省对外经济贸易学校，两校合并后升格组建的高职学院。学</w:t>
      </w:r>
      <w:r>
        <w:rPr>
          <w:rFonts w:hint="eastAsia" w:ascii="宋体" w:hAnsi="宋体" w:eastAsia="宋体" w:cs="宋体"/>
          <w:sz w:val="28"/>
          <w:szCs w:val="28"/>
          <w:lang w:val="en-US" w:eastAsia="zh-CN"/>
        </w:rPr>
        <w:t>校</w:t>
      </w:r>
      <w:r>
        <w:rPr>
          <w:rFonts w:hint="eastAsia" w:ascii="宋体" w:hAnsi="宋体" w:eastAsia="宋体" w:cs="宋体"/>
          <w:sz w:val="28"/>
          <w:szCs w:val="28"/>
        </w:rPr>
        <w:t>对接国家“一带一路”合作倡议和湖南“创新引领，开放崛起”战略，突出“外”字特色，坚持“以国际视野办学，育高端商务人才”的办学理念和“诚信立身，勤奋立业”的校训，走“质量立校、特色兴校、人才强校、文化活校、依法治校”的发展之路。前先后立项国家级、省级重点职教建设项目 50 余个，努力把学院建设成省内一流、全国商务行业领先、国内知名的卓越高职院校，打造全国外经贸行业人才培养的高地。</w:t>
      </w:r>
    </w:p>
    <w:p>
      <w:pPr>
        <w:spacing w:line="360" w:lineRule="auto"/>
        <w:ind w:firstLine="562" w:firstLineChars="200"/>
        <w:outlineLvl w:val="1"/>
        <w:rPr>
          <w:rFonts w:hint="eastAsia" w:ascii="宋体" w:hAnsi="宋体" w:eastAsia="宋体" w:cs="宋体"/>
          <w:b/>
          <w:sz w:val="28"/>
          <w:szCs w:val="28"/>
        </w:rPr>
      </w:pPr>
      <w:bookmarkStart w:id="4" w:name="_Toc24892"/>
      <w:r>
        <w:rPr>
          <w:rFonts w:hint="eastAsia" w:ascii="宋体" w:hAnsi="宋体" w:eastAsia="宋体" w:cs="宋体"/>
          <w:b/>
          <w:sz w:val="28"/>
          <w:szCs w:val="28"/>
        </w:rPr>
        <w:t>1.2学校继续教育总体规划</w:t>
      </w:r>
      <w:bookmarkEnd w:id="4"/>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学校成人学历继续教育一直由学校代管的商务厅培训中心承办。由于学校机构职能调整，从2022年11月7日开始，成人学历继续教育由学校继续教育学院管理。2022年，为配合湖南省“三高四新”发展战略的实施，学校在年初的工作计划中，把继续教育工作列入年度学校重点工作，为继续教育工作提供了有力的政策支持和良好的发展环境。</w:t>
      </w:r>
    </w:p>
    <w:p>
      <w:pPr>
        <w:spacing w:line="360" w:lineRule="auto"/>
        <w:ind w:firstLine="560" w:firstLineChars="200"/>
        <w:rPr>
          <w:rFonts w:hint="eastAsia" w:ascii="宋体" w:hAnsi="宋体" w:eastAsia="宋体" w:cs="宋体"/>
          <w:b/>
          <w:sz w:val="28"/>
          <w:szCs w:val="28"/>
        </w:rPr>
      </w:pPr>
      <w:r>
        <w:rPr>
          <w:rFonts w:hint="eastAsia" w:ascii="宋体" w:hAnsi="宋体" w:eastAsia="宋体" w:cs="宋体"/>
          <w:sz w:val="28"/>
          <w:szCs w:val="28"/>
        </w:rPr>
        <w:t>总体规划，我校继续教育利用自身优势和办学条件，坚持面向国家经济建设和社会发展需要，以发展高水平继续教育为目标，稳固发展成人学历教育，大力开展非学历继续教育，积极探索突出“外”字特色的多样化成人教育培养模式的改造与创新，打造立足湖南、辐射全国、特色鲜明、优质品牌的继续教育培训基地，为服务地方经济建设提供人才支撑，更好地服务区域经济社会发展。学校利用现代化教育手段和联合办学、订单培养、职业培训等多样化办学机制，开展多种形式的成人高等学历教育和非学历教育培训，为社会提供多样化的优质教育服务。</w:t>
      </w:r>
    </w:p>
    <w:p>
      <w:pPr>
        <w:spacing w:line="360" w:lineRule="auto"/>
        <w:ind w:firstLine="562" w:firstLineChars="200"/>
        <w:outlineLvl w:val="1"/>
        <w:rPr>
          <w:rFonts w:hint="eastAsia" w:ascii="宋体" w:hAnsi="宋体" w:eastAsia="宋体" w:cs="宋体"/>
          <w:b/>
          <w:sz w:val="28"/>
          <w:szCs w:val="28"/>
        </w:rPr>
      </w:pPr>
      <w:bookmarkStart w:id="5" w:name="_Toc20750"/>
      <w:r>
        <w:rPr>
          <w:rFonts w:hint="eastAsia" w:ascii="宋体" w:hAnsi="宋体" w:eastAsia="宋体" w:cs="宋体"/>
          <w:b/>
          <w:sz w:val="28"/>
          <w:szCs w:val="28"/>
        </w:rPr>
        <w:t>1.3学校继续教育办学定位</w:t>
      </w:r>
      <w:bookmarkEnd w:id="5"/>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学校继续教育工作始终坚持立德树人，坚持服务地方，服务企业，开放办学，合作共赢的办学宗旨，立足地方经济社会发展，坚持学历教育和职业培训并举，探索学校优势专业，开展</w:t>
      </w:r>
      <w:r>
        <w:rPr>
          <w:rFonts w:hint="eastAsia" w:ascii="宋体" w:hAnsi="宋体" w:eastAsia="宋体" w:cs="宋体"/>
          <w:sz w:val="28"/>
          <w:szCs w:val="28"/>
          <w:lang w:val="en-US" w:eastAsia="zh-CN"/>
        </w:rPr>
        <w:t>技术</w:t>
      </w:r>
      <w:r>
        <w:rPr>
          <w:rFonts w:hint="eastAsia" w:ascii="宋体" w:hAnsi="宋体" w:eastAsia="宋体" w:cs="宋体"/>
          <w:sz w:val="28"/>
          <w:szCs w:val="28"/>
        </w:rPr>
        <w:t>技能型专门人才培训。响应社会人员及在校学生的学历提升需求，充分发挥学校师资和课程资源，积极引进外部优质教育资源，进一步完善“专科一本科”学历教育绿色通道，使教育层次完备化，教育内容多样化，教育手段现代化。</w:t>
      </w:r>
    </w:p>
    <w:p>
      <w:pPr>
        <w:spacing w:line="360" w:lineRule="auto"/>
        <w:ind w:firstLine="562" w:firstLineChars="200"/>
        <w:outlineLvl w:val="1"/>
        <w:rPr>
          <w:rFonts w:hint="eastAsia" w:ascii="宋体" w:hAnsi="宋体" w:eastAsia="宋体" w:cs="宋体"/>
          <w:b/>
          <w:sz w:val="28"/>
          <w:szCs w:val="28"/>
        </w:rPr>
      </w:pPr>
      <w:bookmarkStart w:id="6" w:name="_Toc5754"/>
      <w:r>
        <w:rPr>
          <w:rFonts w:hint="eastAsia" w:ascii="宋体" w:hAnsi="宋体" w:eastAsia="宋体" w:cs="宋体"/>
          <w:b/>
          <w:sz w:val="28"/>
          <w:szCs w:val="28"/>
        </w:rPr>
        <w:t>1.4学校继续教育办学体制与管理机制</w:t>
      </w:r>
      <w:bookmarkEnd w:id="6"/>
    </w:p>
    <w:p>
      <w:pPr>
        <w:spacing w:line="360" w:lineRule="auto"/>
        <w:ind w:firstLine="562" w:firstLineChars="200"/>
        <w:outlineLvl w:val="2"/>
        <w:rPr>
          <w:rFonts w:hint="eastAsia" w:ascii="宋体" w:hAnsi="宋体" w:eastAsia="宋体" w:cs="宋体"/>
          <w:b/>
          <w:sz w:val="28"/>
          <w:szCs w:val="28"/>
        </w:rPr>
      </w:pPr>
      <w:bookmarkStart w:id="7" w:name="_Toc20033"/>
      <w:r>
        <w:rPr>
          <w:rFonts w:hint="eastAsia" w:ascii="宋体" w:hAnsi="宋体" w:eastAsia="宋体" w:cs="宋体"/>
          <w:b/>
          <w:sz w:val="28"/>
          <w:szCs w:val="28"/>
        </w:rPr>
        <w:t>1.4.1办学体制</w:t>
      </w:r>
      <w:bookmarkEnd w:id="7"/>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我校继续教育充分依据学校自身优势和办学条件，加强与主管部门及省内企业沟通与合作，根据自身条件，开展多种形式的成人高等学历教育和非学历教育培训，为社会提供多样化的优质教育服务。</w:t>
      </w:r>
    </w:p>
    <w:p>
      <w:pPr>
        <w:spacing w:line="360" w:lineRule="auto"/>
        <w:ind w:firstLine="562" w:firstLineChars="200"/>
        <w:outlineLvl w:val="2"/>
        <w:rPr>
          <w:rFonts w:hint="eastAsia" w:ascii="宋体" w:hAnsi="宋体" w:eastAsia="宋体" w:cs="宋体"/>
          <w:b/>
          <w:sz w:val="28"/>
          <w:szCs w:val="28"/>
        </w:rPr>
      </w:pPr>
      <w:bookmarkStart w:id="8" w:name="_Toc31420"/>
      <w:r>
        <w:rPr>
          <w:rFonts w:hint="eastAsia" w:ascii="宋体" w:hAnsi="宋体" w:eastAsia="宋体" w:cs="宋体"/>
          <w:b/>
          <w:sz w:val="28"/>
          <w:szCs w:val="28"/>
        </w:rPr>
        <w:t>1.4.2管理机制</w:t>
      </w:r>
      <w:bookmarkEnd w:id="8"/>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学校成人学历继续教育一直由学校代管的商务厅培训中心承办。由于学校机构职能调整，从2022年11月7日开始，成人学历继续教育由学校继续教育学院管理。对照管理规定工作要求，学校对原培训中心报备的15个合作站点进行了资质审核，经审核后决定对15个站点全部撤销。以后校外教学点的设立将严格按教育厅的相关规定进行申报审批。学历继续教育所有收入纳入学校预算，统一核算，统一管理。学费全额上缴学校财务，严禁上缴前分配。对照《教育部关于推进新时代普通高等学校学历继续教育改革的实施意见》（教职成〔2022〕2号）文件的有关要求，继续教育学院牵头针对《湖南外贸职业学院招生管理办法》、《湖南外贸职业学院学籍管理规定》、《湖南外贸职业学院考试管理规定》、《湖南外贸职业学院收费管理办法》等9个制度正在进行修订，同时完成了《湖南外贸职业学院学历继续教育应急反馈预案》，进一步完善回应学生和社会诉求应急反馈机制。进一步完善了平台考试的有关规定，优化了远程监控手段，从技术上杜绝舞弊情况的出现，为做好学生稳定工作打下了坚实的基础。</w:t>
      </w:r>
    </w:p>
    <w:p>
      <w:pPr>
        <w:spacing w:line="360" w:lineRule="auto"/>
        <w:ind w:firstLine="562" w:firstLineChars="200"/>
        <w:outlineLvl w:val="0"/>
        <w:rPr>
          <w:rFonts w:hint="eastAsia" w:ascii="宋体" w:hAnsi="宋体" w:eastAsia="宋体" w:cs="宋体"/>
          <w:b/>
          <w:sz w:val="28"/>
          <w:szCs w:val="28"/>
        </w:rPr>
      </w:pPr>
      <w:bookmarkStart w:id="9" w:name="_Toc30214"/>
      <w:r>
        <w:rPr>
          <w:rFonts w:hint="eastAsia" w:ascii="宋体" w:hAnsi="宋体" w:eastAsia="宋体" w:cs="宋体"/>
          <w:b/>
          <w:sz w:val="28"/>
          <w:szCs w:val="28"/>
        </w:rPr>
        <w:t>2.专业设置</w:t>
      </w:r>
      <w:bookmarkEnd w:id="9"/>
    </w:p>
    <w:p>
      <w:pPr>
        <w:spacing w:line="360" w:lineRule="auto"/>
        <w:ind w:firstLine="562" w:firstLineChars="200"/>
        <w:outlineLvl w:val="1"/>
        <w:rPr>
          <w:rFonts w:hint="eastAsia" w:ascii="宋体" w:hAnsi="宋体" w:eastAsia="宋体" w:cs="宋体"/>
          <w:b/>
          <w:sz w:val="28"/>
          <w:szCs w:val="28"/>
        </w:rPr>
      </w:pPr>
      <w:bookmarkStart w:id="10" w:name="_Toc19812"/>
      <w:r>
        <w:rPr>
          <w:rFonts w:hint="eastAsia" w:ascii="宋体" w:hAnsi="宋体" w:eastAsia="宋体" w:cs="宋体"/>
          <w:b/>
          <w:sz w:val="28"/>
          <w:szCs w:val="28"/>
        </w:rPr>
        <w:t>2.1学历继续教育专业设置</w:t>
      </w:r>
      <w:bookmarkEnd w:id="10"/>
    </w:p>
    <w:p>
      <w:pPr>
        <w:spacing w:line="360" w:lineRule="auto"/>
        <w:ind w:firstLine="562" w:firstLineChars="200"/>
        <w:outlineLvl w:val="2"/>
        <w:rPr>
          <w:rFonts w:hint="eastAsia" w:ascii="宋体" w:hAnsi="宋体" w:eastAsia="宋体" w:cs="宋体"/>
          <w:b/>
          <w:sz w:val="28"/>
          <w:szCs w:val="28"/>
        </w:rPr>
      </w:pPr>
      <w:bookmarkStart w:id="11" w:name="_Toc18759"/>
      <w:r>
        <w:rPr>
          <w:rFonts w:hint="eastAsia" w:ascii="宋体" w:hAnsi="宋体" w:eastAsia="宋体" w:cs="宋体"/>
          <w:b/>
          <w:sz w:val="28"/>
          <w:szCs w:val="28"/>
        </w:rPr>
        <w:t>2.1.1专业设置概况</w:t>
      </w:r>
      <w:bookmarkEnd w:id="11"/>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我校学历继续教育专业均在全日制教育中本校已开设的全日制教育专科专业范围内。2022年初，我校通过全国高等学历继续教育专业管理和公共信息服务平台做好拟招生专业的申报工作，并按照教育部审核通过的专业进行招生。</w:t>
      </w:r>
      <w:r>
        <w:rPr>
          <w:rFonts w:hint="eastAsia" w:ascii="宋体" w:hAnsi="宋体" w:eastAsia="宋体" w:cs="宋体"/>
          <w:sz w:val="28"/>
          <w:szCs w:val="28"/>
          <w:lang w:val="en-US" w:eastAsia="zh-CN"/>
        </w:rPr>
        <w:t>我校继续教育专业设置坚持以下原则：一是紧密对接湖南外经贸产业发展，突出为湖南地方经济服务。二是充分利用学校最优势的人才、课程及设备资源。三是聚焦学校“双高”专业群，突出高水平专业群的核心专业。</w:t>
      </w:r>
    </w:p>
    <w:p>
      <w:pPr>
        <w:spacing w:line="360" w:lineRule="auto"/>
        <w:ind w:firstLine="562" w:firstLineChars="200"/>
        <w:outlineLvl w:val="2"/>
        <w:rPr>
          <w:rFonts w:hint="eastAsia" w:ascii="宋体" w:hAnsi="宋体" w:eastAsia="宋体" w:cs="宋体"/>
          <w:b/>
          <w:sz w:val="28"/>
          <w:szCs w:val="28"/>
        </w:rPr>
      </w:pPr>
      <w:bookmarkStart w:id="12" w:name="_Toc30359"/>
      <w:r>
        <w:rPr>
          <w:rFonts w:hint="eastAsia" w:ascii="宋体" w:hAnsi="宋体" w:eastAsia="宋体" w:cs="宋体"/>
          <w:b/>
          <w:sz w:val="28"/>
          <w:szCs w:val="28"/>
        </w:rPr>
        <w:t>2.1.2专业结构布局</w:t>
      </w:r>
      <w:bookmarkEnd w:id="12"/>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为更好地适应开放强省建设的需求，2022年学</w:t>
      </w:r>
      <w:r>
        <w:rPr>
          <w:rFonts w:hint="eastAsia" w:ascii="宋体" w:hAnsi="宋体" w:eastAsia="宋体" w:cs="宋体"/>
          <w:sz w:val="28"/>
          <w:szCs w:val="28"/>
          <w:lang w:val="en-US" w:eastAsia="zh-CN"/>
        </w:rPr>
        <w:t>校</w:t>
      </w:r>
      <w:r>
        <w:rPr>
          <w:rFonts w:hint="eastAsia" w:ascii="宋体" w:hAnsi="宋体" w:eastAsia="宋体" w:cs="宋体"/>
          <w:sz w:val="28"/>
          <w:szCs w:val="28"/>
        </w:rPr>
        <w:t>加强了专业内涵建设，</w:t>
      </w:r>
      <w:r>
        <w:rPr>
          <w:rFonts w:hint="eastAsia" w:ascii="宋体" w:hAnsi="宋体" w:eastAsia="宋体" w:cs="宋体"/>
          <w:sz w:val="28"/>
          <w:szCs w:val="28"/>
          <w:lang w:val="en-US" w:eastAsia="zh-CN"/>
        </w:rPr>
        <w:t>进一步优化了专业结构布局</w:t>
      </w:r>
      <w:r>
        <w:rPr>
          <w:rFonts w:hint="eastAsia" w:ascii="宋体" w:hAnsi="宋体" w:eastAsia="宋体" w:cs="宋体"/>
          <w:sz w:val="28"/>
          <w:szCs w:val="28"/>
        </w:rPr>
        <w:t>。对接湖南外经贸、电子商务、旅游服务和商务咨询等产业，主动适应区域经济和社会发展的需要，开办有：国际经济与贸易、商务英语、会计学、市场营销、酒店管理、空中乘务、电子商务、软件与信息服务和电脑艺术设计等 23 个专科专业，积极实施国家职教项目。</w:t>
      </w:r>
      <w:r>
        <w:rPr>
          <w:rFonts w:hint="eastAsia" w:ascii="宋体" w:hAnsi="宋体" w:eastAsia="宋体" w:cs="宋体"/>
          <w:sz w:val="28"/>
          <w:szCs w:val="28"/>
          <w:lang w:val="en-US" w:eastAsia="zh-CN"/>
        </w:rPr>
        <w:t>这</w:t>
      </w:r>
      <w:r>
        <w:rPr>
          <w:rFonts w:hint="eastAsia" w:ascii="宋体" w:hAnsi="宋体" w:eastAsia="宋体" w:cs="宋体"/>
          <w:sz w:val="28"/>
          <w:szCs w:val="28"/>
        </w:rPr>
        <w:t xml:space="preserve"> 23 个专业，分为经济管理类专业、外语类专业、理工类专业及艺术类专业。</w:t>
      </w:r>
    </w:p>
    <w:p>
      <w:pPr>
        <w:spacing w:line="360" w:lineRule="auto"/>
        <w:ind w:firstLine="562" w:firstLineChars="200"/>
        <w:outlineLvl w:val="1"/>
        <w:rPr>
          <w:rFonts w:hint="eastAsia" w:ascii="宋体" w:hAnsi="宋体" w:eastAsia="宋体" w:cs="宋体"/>
          <w:b/>
          <w:sz w:val="28"/>
          <w:szCs w:val="28"/>
        </w:rPr>
      </w:pPr>
      <w:bookmarkStart w:id="13" w:name="_Toc22252"/>
      <w:r>
        <w:rPr>
          <w:rFonts w:hint="eastAsia" w:ascii="宋体" w:hAnsi="宋体" w:eastAsia="宋体" w:cs="宋体"/>
          <w:b/>
          <w:sz w:val="28"/>
          <w:szCs w:val="28"/>
        </w:rPr>
        <w:t>2.2学历继续教育专业调整情况</w:t>
      </w:r>
      <w:bookmarkEnd w:id="13"/>
    </w:p>
    <w:p>
      <w:pPr>
        <w:spacing w:line="360" w:lineRule="auto"/>
        <w:ind w:firstLine="562" w:firstLineChars="200"/>
        <w:outlineLvl w:val="2"/>
        <w:rPr>
          <w:rFonts w:hint="eastAsia" w:ascii="宋体" w:hAnsi="宋体" w:eastAsia="宋体" w:cs="宋体"/>
          <w:b/>
          <w:sz w:val="28"/>
          <w:szCs w:val="28"/>
        </w:rPr>
      </w:pPr>
      <w:bookmarkStart w:id="14" w:name="_Toc23440"/>
      <w:r>
        <w:rPr>
          <w:rFonts w:hint="eastAsia" w:ascii="宋体" w:hAnsi="宋体" w:eastAsia="宋体" w:cs="宋体"/>
          <w:b/>
          <w:sz w:val="28"/>
          <w:szCs w:val="28"/>
        </w:rPr>
        <w:t>2.2.1调整思路</w:t>
      </w:r>
      <w:bookmarkEnd w:id="14"/>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学校根据湖南省经济发展和学校的学科建设情况加强对增设专业、调整专业、开设专业方向的管理监控，及时收集了解地方和行业主管部门发布的人才需求信息，根据区域产业发展需要，调整或淘汰与经济发展不相适应、社会需求不足的专业。</w:t>
      </w:r>
    </w:p>
    <w:p>
      <w:pPr>
        <w:spacing w:line="360" w:lineRule="auto"/>
        <w:ind w:firstLine="562" w:firstLineChars="200"/>
        <w:outlineLvl w:val="2"/>
        <w:rPr>
          <w:rFonts w:hint="eastAsia" w:ascii="宋体" w:hAnsi="宋体" w:eastAsia="宋体" w:cs="宋体"/>
          <w:b/>
          <w:sz w:val="28"/>
          <w:szCs w:val="28"/>
        </w:rPr>
      </w:pPr>
      <w:bookmarkStart w:id="15" w:name="_Toc366"/>
      <w:r>
        <w:rPr>
          <w:rFonts w:hint="eastAsia" w:ascii="宋体" w:hAnsi="宋体" w:eastAsia="宋体" w:cs="宋体"/>
          <w:b/>
          <w:sz w:val="28"/>
          <w:szCs w:val="28"/>
        </w:rPr>
        <w:t>2.2.2调整进展</w:t>
      </w:r>
      <w:bookmarkEnd w:id="15"/>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2022年，我校学历继续教育专业无新增、无停招专业。</w:t>
      </w:r>
    </w:p>
    <w:p>
      <w:pPr>
        <w:spacing w:line="360" w:lineRule="auto"/>
        <w:ind w:firstLine="562" w:firstLineChars="200"/>
        <w:outlineLvl w:val="2"/>
        <w:rPr>
          <w:rFonts w:hint="eastAsia" w:ascii="宋体" w:hAnsi="宋体" w:eastAsia="宋体" w:cs="宋体"/>
          <w:b/>
          <w:sz w:val="28"/>
          <w:szCs w:val="28"/>
        </w:rPr>
      </w:pPr>
      <w:bookmarkStart w:id="16" w:name="_Toc18017"/>
      <w:r>
        <w:rPr>
          <w:rFonts w:hint="eastAsia" w:ascii="宋体" w:hAnsi="宋体" w:eastAsia="宋体" w:cs="宋体"/>
          <w:b/>
          <w:sz w:val="28"/>
          <w:szCs w:val="28"/>
        </w:rPr>
        <w:t>2.2.3工作成效</w:t>
      </w:r>
      <w:bookmarkEnd w:id="16"/>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通过对专业设置的调整，目前保留下来的专业较为适应区域性经济发展的需要，考生报名活跃，特别是空中乘务等专业的报考率较高。</w:t>
      </w:r>
    </w:p>
    <w:p>
      <w:pPr>
        <w:spacing w:line="360" w:lineRule="auto"/>
        <w:ind w:firstLine="562" w:firstLineChars="200"/>
        <w:outlineLvl w:val="1"/>
        <w:rPr>
          <w:rFonts w:hint="eastAsia" w:ascii="宋体" w:hAnsi="宋体" w:eastAsia="宋体" w:cs="宋体"/>
          <w:b/>
          <w:sz w:val="28"/>
          <w:szCs w:val="28"/>
        </w:rPr>
      </w:pPr>
      <w:bookmarkStart w:id="17" w:name="_Toc7697"/>
      <w:r>
        <w:rPr>
          <w:rFonts w:hint="eastAsia" w:ascii="宋体" w:hAnsi="宋体" w:eastAsia="宋体" w:cs="宋体"/>
          <w:b/>
          <w:sz w:val="28"/>
          <w:szCs w:val="28"/>
        </w:rPr>
        <w:t>2.3专业人才培养方案的制订及修订情况</w:t>
      </w:r>
      <w:bookmarkEnd w:id="17"/>
    </w:p>
    <w:p>
      <w:pPr>
        <w:spacing w:line="360" w:lineRule="auto"/>
        <w:ind w:firstLine="562" w:firstLineChars="200"/>
        <w:outlineLvl w:val="2"/>
        <w:rPr>
          <w:rFonts w:hint="eastAsia" w:ascii="宋体" w:hAnsi="宋体" w:eastAsia="宋体" w:cs="宋体"/>
          <w:b/>
          <w:sz w:val="28"/>
          <w:szCs w:val="28"/>
        </w:rPr>
      </w:pPr>
      <w:bookmarkStart w:id="18" w:name="_Toc1238"/>
      <w:r>
        <w:rPr>
          <w:rFonts w:hint="eastAsia" w:ascii="宋体" w:hAnsi="宋体" w:eastAsia="宋体" w:cs="宋体"/>
          <w:b/>
          <w:sz w:val="28"/>
          <w:szCs w:val="28"/>
        </w:rPr>
        <w:t>2.3.1人才培养方案的制订</w:t>
      </w:r>
      <w:bookmarkEnd w:id="18"/>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学校各专业成人高等教育人才培养方案的制定参照学校全日制教育教学计划及人才培养方案，并结合成人教育的特点制定。2022年继续教育人才培养方案在学校党委会通过审核认定后，方上报省教育厅。学校根据成人学员的学习特点，以社会需求和经济发展对各专业职业能力和岗位技能的需求为前提，因材施教，突出“外”字特色，在课程设置教学组织、考核评价等方面进行多样化人才培养模式探索，满足在职从业人员的学习需求，确保学历继续教育人才培养达到国家规定的学业标准，保证人才培养质量。</w:t>
      </w:r>
    </w:p>
    <w:p>
      <w:pPr>
        <w:spacing w:line="360" w:lineRule="auto"/>
        <w:ind w:firstLine="562" w:firstLineChars="200"/>
        <w:outlineLvl w:val="2"/>
        <w:rPr>
          <w:rFonts w:hint="eastAsia" w:ascii="宋体" w:hAnsi="宋体" w:eastAsia="宋体" w:cs="宋体"/>
          <w:b/>
          <w:sz w:val="28"/>
          <w:szCs w:val="28"/>
        </w:rPr>
      </w:pPr>
      <w:bookmarkStart w:id="19" w:name="_Toc8892"/>
      <w:r>
        <w:rPr>
          <w:rFonts w:hint="eastAsia" w:ascii="宋体" w:hAnsi="宋体" w:eastAsia="宋体" w:cs="宋体"/>
          <w:b/>
          <w:sz w:val="28"/>
          <w:szCs w:val="28"/>
        </w:rPr>
        <w:t>2.3.2人才培养方案调整情况</w:t>
      </w:r>
      <w:bookmarkEnd w:id="19"/>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2022年，我校对各专业人才培养方案进行了部分调整和修改，并根据教育部调整公布的最新专业目录，从培养规格、课程体系、教学计划进程表，支持服务能力等方面对原所有专业的人才培养方案进行了修订，完成了酒店管理与数字化运营、财富管理、大数据财务管理、软件技术等专业的修订。</w:t>
      </w:r>
      <w:r>
        <w:rPr>
          <w:rFonts w:hint="eastAsia" w:ascii="宋体" w:hAnsi="宋体" w:eastAsia="宋体" w:cs="宋体"/>
          <w:sz w:val="28"/>
          <w:szCs w:val="28"/>
          <w:lang w:val="en-US" w:eastAsia="zh-CN"/>
        </w:rPr>
        <w:t>通过人才培养方案优化，使培养目标更准确、培养体系更科学。</w:t>
      </w:r>
    </w:p>
    <w:p>
      <w:pPr>
        <w:spacing w:line="360" w:lineRule="auto"/>
        <w:ind w:firstLine="562" w:firstLineChars="200"/>
        <w:outlineLvl w:val="0"/>
        <w:rPr>
          <w:rFonts w:hint="eastAsia" w:ascii="宋体" w:hAnsi="宋体" w:eastAsia="宋体" w:cs="宋体"/>
          <w:b/>
          <w:sz w:val="28"/>
          <w:szCs w:val="28"/>
        </w:rPr>
      </w:pPr>
      <w:bookmarkStart w:id="20" w:name="_Toc16217"/>
      <w:r>
        <w:rPr>
          <w:rFonts w:hint="eastAsia" w:ascii="宋体" w:hAnsi="宋体" w:eastAsia="宋体" w:cs="宋体"/>
          <w:b/>
          <w:sz w:val="28"/>
          <w:szCs w:val="28"/>
        </w:rPr>
        <w:t>3.人才培养</w:t>
      </w:r>
      <w:bookmarkEnd w:id="20"/>
    </w:p>
    <w:p>
      <w:pPr>
        <w:spacing w:line="360" w:lineRule="auto"/>
        <w:ind w:firstLine="562" w:firstLineChars="200"/>
        <w:outlineLvl w:val="1"/>
        <w:rPr>
          <w:rFonts w:hint="eastAsia" w:ascii="宋体" w:hAnsi="宋体" w:eastAsia="宋体" w:cs="宋体"/>
          <w:b/>
          <w:sz w:val="28"/>
          <w:szCs w:val="28"/>
        </w:rPr>
      </w:pPr>
      <w:bookmarkStart w:id="21" w:name="_Toc32716"/>
      <w:r>
        <w:rPr>
          <w:rFonts w:hint="eastAsia" w:ascii="宋体" w:hAnsi="宋体" w:eastAsia="宋体" w:cs="宋体"/>
          <w:b/>
          <w:sz w:val="28"/>
          <w:szCs w:val="28"/>
        </w:rPr>
        <w:t>3.1学历继续教育情况</w:t>
      </w:r>
      <w:bookmarkEnd w:id="21"/>
    </w:p>
    <w:p>
      <w:pPr>
        <w:spacing w:line="360" w:lineRule="auto"/>
        <w:ind w:firstLine="562" w:firstLineChars="200"/>
        <w:outlineLvl w:val="2"/>
        <w:rPr>
          <w:rFonts w:hint="eastAsia" w:ascii="宋体" w:hAnsi="宋体" w:eastAsia="宋体" w:cs="宋体"/>
          <w:b/>
          <w:sz w:val="28"/>
          <w:szCs w:val="28"/>
        </w:rPr>
      </w:pPr>
      <w:bookmarkStart w:id="22" w:name="_Toc20483"/>
      <w:r>
        <w:rPr>
          <w:rFonts w:hint="eastAsia" w:ascii="宋体" w:hAnsi="宋体" w:eastAsia="宋体" w:cs="宋体"/>
          <w:b/>
          <w:sz w:val="28"/>
          <w:szCs w:val="28"/>
        </w:rPr>
        <w:t>3.1.1 2022年在校生情况</w:t>
      </w:r>
      <w:bookmarkEnd w:id="22"/>
    </w:p>
    <w:p>
      <w:pPr>
        <w:spacing w:line="360" w:lineRule="auto"/>
        <w:ind w:firstLine="482" w:firstLineChars="200"/>
        <w:jc w:val="center"/>
        <w:rPr>
          <w:rFonts w:hint="eastAsia" w:ascii="宋体" w:hAnsi="宋体" w:eastAsia="宋体" w:cs="宋体"/>
          <w:b/>
          <w:sz w:val="24"/>
          <w:szCs w:val="24"/>
        </w:rPr>
      </w:pPr>
      <w:r>
        <w:rPr>
          <w:rFonts w:hint="eastAsia" w:ascii="宋体" w:hAnsi="宋体" w:eastAsia="宋体" w:cs="宋体"/>
          <w:b/>
          <w:sz w:val="24"/>
          <w:szCs w:val="24"/>
        </w:rPr>
        <w:t>学历继续教育在校生情况表</w:t>
      </w:r>
    </w:p>
    <w:p>
      <w:pPr>
        <w:ind w:firstLine="420"/>
        <w:rPr>
          <w:rFonts w:hint="eastAsia" w:ascii="宋体" w:hAnsi="宋体" w:eastAsia="宋体" w:cs="宋体"/>
        </w:rPr>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6"/>
        <w:gridCol w:w="976"/>
        <w:gridCol w:w="902"/>
        <w:gridCol w:w="912"/>
        <w:gridCol w:w="910"/>
        <w:gridCol w:w="1020"/>
        <w:gridCol w:w="912"/>
        <w:gridCol w:w="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jc w:val="center"/>
        </w:trPr>
        <w:tc>
          <w:tcPr>
            <w:tcW w:w="866" w:type="dxa"/>
            <w:tcBorders>
              <w:top w:val="single" w:color="000000" w:sz="4" w:space="0"/>
              <w:left w:val="single" w:color="000000" w:sz="4" w:space="0"/>
              <w:bottom w:val="single" w:color="000000" w:sz="4" w:space="0"/>
              <w:right w:val="single" w:color="000000" w:sz="4" w:space="0"/>
            </w:tcBorders>
          </w:tcPr>
          <w:p>
            <w:pPr>
              <w:pStyle w:val="17"/>
              <w:spacing w:before="117"/>
              <w:ind w:left="91" w:right="87"/>
              <w:rPr>
                <w:rFonts w:hint="eastAsia" w:ascii="宋体" w:hAnsi="宋体" w:eastAsia="宋体" w:cs="宋体"/>
                <w:color w:val="000000"/>
                <w:sz w:val="21"/>
                <w:szCs w:val="21"/>
              </w:rPr>
            </w:pPr>
            <w:r>
              <w:rPr>
                <w:rFonts w:hint="eastAsia" w:ascii="宋体" w:hAnsi="宋体" w:eastAsia="宋体" w:cs="宋体"/>
                <w:color w:val="000000"/>
                <w:sz w:val="21"/>
                <w:szCs w:val="21"/>
              </w:rPr>
              <w:t>业</w:t>
            </w:r>
            <w:r>
              <w:rPr>
                <w:rFonts w:hint="eastAsia" w:ascii="宋体" w:hAnsi="宋体" w:eastAsia="宋体" w:cs="宋体"/>
                <w:color w:val="000000"/>
                <w:spacing w:val="-10"/>
                <w:sz w:val="21"/>
                <w:szCs w:val="21"/>
              </w:rPr>
              <w:t>余</w:t>
            </w:r>
          </w:p>
        </w:tc>
        <w:tc>
          <w:tcPr>
            <w:tcW w:w="976" w:type="dxa"/>
            <w:tcBorders>
              <w:top w:val="single" w:color="000000" w:sz="4" w:space="0"/>
              <w:left w:val="nil"/>
              <w:bottom w:val="single" w:color="000000" w:sz="4" w:space="0"/>
              <w:right w:val="single" w:color="000000" w:sz="4" w:space="0"/>
            </w:tcBorders>
          </w:tcPr>
          <w:p>
            <w:pPr>
              <w:pStyle w:val="17"/>
              <w:spacing w:before="117"/>
              <w:ind w:left="134" w:right="129"/>
              <w:rPr>
                <w:rFonts w:hint="eastAsia" w:ascii="宋体" w:hAnsi="宋体" w:eastAsia="宋体" w:cs="宋体"/>
                <w:color w:val="000000"/>
                <w:sz w:val="21"/>
                <w:szCs w:val="21"/>
              </w:rPr>
            </w:pPr>
            <w:r>
              <w:rPr>
                <w:rFonts w:hint="eastAsia" w:ascii="宋体" w:hAnsi="宋体" w:eastAsia="宋体" w:cs="宋体"/>
                <w:color w:val="000000"/>
                <w:sz w:val="21"/>
                <w:szCs w:val="21"/>
              </w:rPr>
              <w:t>函</w:t>
            </w:r>
            <w:r>
              <w:rPr>
                <w:rFonts w:hint="eastAsia" w:ascii="宋体" w:hAnsi="宋体" w:eastAsia="宋体" w:cs="宋体"/>
                <w:color w:val="000000"/>
                <w:spacing w:val="-10"/>
                <w:sz w:val="21"/>
                <w:szCs w:val="21"/>
              </w:rPr>
              <w:t>授</w:t>
            </w:r>
          </w:p>
        </w:tc>
        <w:tc>
          <w:tcPr>
            <w:tcW w:w="902" w:type="dxa"/>
            <w:tcBorders>
              <w:top w:val="single" w:color="000000" w:sz="4" w:space="0"/>
              <w:left w:val="nil"/>
              <w:bottom w:val="single" w:color="000000" w:sz="4" w:space="0"/>
              <w:right w:val="single" w:color="000000" w:sz="4" w:space="0"/>
            </w:tcBorders>
          </w:tcPr>
          <w:p>
            <w:pPr>
              <w:pStyle w:val="17"/>
              <w:spacing w:before="117"/>
              <w:ind w:left="133" w:right="125"/>
              <w:rPr>
                <w:rFonts w:hint="eastAsia" w:ascii="宋体" w:hAnsi="宋体" w:eastAsia="宋体" w:cs="宋体"/>
                <w:color w:val="000000"/>
                <w:sz w:val="21"/>
                <w:szCs w:val="21"/>
              </w:rPr>
            </w:pPr>
            <w:r>
              <w:rPr>
                <w:rFonts w:hint="eastAsia" w:ascii="宋体" w:hAnsi="宋体" w:eastAsia="宋体" w:cs="宋体"/>
                <w:color w:val="000000"/>
                <w:sz w:val="21"/>
                <w:szCs w:val="21"/>
              </w:rPr>
              <w:t>远</w:t>
            </w:r>
            <w:r>
              <w:rPr>
                <w:rFonts w:hint="eastAsia" w:ascii="宋体" w:hAnsi="宋体" w:eastAsia="宋体" w:cs="宋体"/>
                <w:color w:val="000000"/>
                <w:spacing w:val="-10"/>
                <w:sz w:val="21"/>
                <w:szCs w:val="21"/>
              </w:rPr>
              <w:t>程</w:t>
            </w:r>
          </w:p>
        </w:tc>
        <w:tc>
          <w:tcPr>
            <w:tcW w:w="912" w:type="dxa"/>
            <w:tcBorders>
              <w:top w:val="single" w:color="000000" w:sz="4" w:space="0"/>
              <w:left w:val="nil"/>
              <w:bottom w:val="single" w:color="000000" w:sz="4" w:space="0"/>
              <w:right w:val="single" w:color="000000" w:sz="4" w:space="0"/>
            </w:tcBorders>
          </w:tcPr>
          <w:p>
            <w:pPr>
              <w:pStyle w:val="17"/>
              <w:spacing w:before="117"/>
              <w:ind w:left="43" w:right="35"/>
              <w:rPr>
                <w:rFonts w:hint="eastAsia" w:ascii="宋体" w:hAnsi="宋体" w:eastAsia="宋体" w:cs="宋体"/>
                <w:color w:val="000000"/>
                <w:sz w:val="21"/>
                <w:szCs w:val="21"/>
              </w:rPr>
            </w:pPr>
            <w:r>
              <w:rPr>
                <w:rFonts w:hint="eastAsia" w:ascii="宋体" w:hAnsi="宋体" w:eastAsia="宋体" w:cs="宋体"/>
                <w:color w:val="000000"/>
                <w:spacing w:val="-4"/>
                <w:sz w:val="21"/>
                <w:szCs w:val="21"/>
              </w:rPr>
              <w:t>高起专</w:t>
            </w:r>
          </w:p>
        </w:tc>
        <w:tc>
          <w:tcPr>
            <w:tcW w:w="910" w:type="dxa"/>
            <w:tcBorders>
              <w:top w:val="single" w:color="000000" w:sz="4" w:space="0"/>
              <w:left w:val="nil"/>
              <w:bottom w:val="single" w:color="000000" w:sz="4" w:space="0"/>
              <w:right w:val="single" w:color="000000" w:sz="4" w:space="0"/>
            </w:tcBorders>
          </w:tcPr>
          <w:p>
            <w:pPr>
              <w:pStyle w:val="17"/>
              <w:spacing w:before="117"/>
              <w:ind w:left="43" w:right="35"/>
              <w:rPr>
                <w:rFonts w:hint="eastAsia" w:ascii="宋体" w:hAnsi="宋体" w:eastAsia="宋体" w:cs="宋体"/>
                <w:color w:val="000000"/>
                <w:sz w:val="21"/>
                <w:szCs w:val="21"/>
              </w:rPr>
            </w:pPr>
            <w:r>
              <w:rPr>
                <w:rFonts w:hint="eastAsia" w:ascii="宋体" w:hAnsi="宋体" w:eastAsia="宋体" w:cs="宋体"/>
                <w:color w:val="000000"/>
                <w:spacing w:val="-4"/>
                <w:sz w:val="21"/>
                <w:szCs w:val="21"/>
              </w:rPr>
              <w:t>专升本</w:t>
            </w:r>
          </w:p>
        </w:tc>
        <w:tc>
          <w:tcPr>
            <w:tcW w:w="1020" w:type="dxa"/>
            <w:tcBorders>
              <w:top w:val="single" w:color="000000" w:sz="4" w:space="0"/>
              <w:left w:val="nil"/>
              <w:bottom w:val="single" w:color="000000" w:sz="4" w:space="0"/>
              <w:right w:val="single" w:color="000000" w:sz="4" w:space="0"/>
            </w:tcBorders>
          </w:tcPr>
          <w:p>
            <w:pPr>
              <w:pStyle w:val="17"/>
              <w:spacing w:before="117"/>
              <w:ind w:left="86" w:right="78"/>
              <w:rPr>
                <w:rFonts w:hint="eastAsia" w:ascii="宋体" w:hAnsi="宋体" w:eastAsia="宋体" w:cs="宋体"/>
                <w:color w:val="000000"/>
                <w:sz w:val="21"/>
                <w:szCs w:val="21"/>
              </w:rPr>
            </w:pPr>
            <w:r>
              <w:rPr>
                <w:rFonts w:hint="eastAsia" w:ascii="宋体" w:hAnsi="宋体" w:eastAsia="宋体" w:cs="宋体"/>
                <w:color w:val="000000"/>
                <w:spacing w:val="-4"/>
                <w:sz w:val="21"/>
                <w:szCs w:val="21"/>
              </w:rPr>
              <w:t>高起本</w:t>
            </w:r>
          </w:p>
        </w:tc>
        <w:tc>
          <w:tcPr>
            <w:tcW w:w="912" w:type="dxa"/>
            <w:tcBorders>
              <w:top w:val="single" w:color="000000" w:sz="4" w:space="0"/>
              <w:left w:val="nil"/>
              <w:bottom w:val="single" w:color="000000" w:sz="4" w:space="0"/>
              <w:right w:val="single" w:color="000000" w:sz="4" w:space="0"/>
            </w:tcBorders>
          </w:tcPr>
          <w:p>
            <w:pPr>
              <w:pStyle w:val="17"/>
              <w:spacing w:before="117"/>
              <w:ind w:left="43" w:right="35"/>
              <w:rPr>
                <w:rFonts w:hint="eastAsia" w:ascii="宋体" w:hAnsi="宋体" w:eastAsia="宋体" w:cs="宋体"/>
                <w:color w:val="000000"/>
                <w:sz w:val="21"/>
                <w:szCs w:val="21"/>
              </w:rPr>
            </w:pPr>
            <w:r>
              <w:rPr>
                <w:rFonts w:hint="eastAsia" w:ascii="宋体" w:hAnsi="宋体" w:eastAsia="宋体" w:cs="宋体"/>
                <w:color w:val="000000"/>
                <w:sz w:val="21"/>
                <w:szCs w:val="21"/>
              </w:rPr>
              <w:t>省</w:t>
            </w:r>
            <w:r>
              <w:rPr>
                <w:rFonts w:hint="eastAsia" w:ascii="宋体" w:hAnsi="宋体" w:eastAsia="宋体" w:cs="宋体"/>
                <w:color w:val="000000"/>
                <w:spacing w:val="-10"/>
                <w:sz w:val="21"/>
                <w:szCs w:val="21"/>
              </w:rPr>
              <w:t>内</w:t>
            </w:r>
          </w:p>
        </w:tc>
        <w:tc>
          <w:tcPr>
            <w:tcW w:w="998" w:type="dxa"/>
            <w:tcBorders>
              <w:top w:val="single" w:color="000000" w:sz="4" w:space="0"/>
              <w:left w:val="nil"/>
              <w:bottom w:val="single" w:color="000000" w:sz="4" w:space="0"/>
              <w:right w:val="single" w:color="000000" w:sz="4" w:space="0"/>
            </w:tcBorders>
          </w:tcPr>
          <w:p>
            <w:pPr>
              <w:pStyle w:val="17"/>
              <w:spacing w:before="117"/>
              <w:ind w:left="169" w:right="164"/>
              <w:rPr>
                <w:rFonts w:hint="eastAsia" w:ascii="宋体" w:hAnsi="宋体" w:eastAsia="宋体" w:cs="宋体"/>
                <w:color w:val="000000"/>
                <w:sz w:val="21"/>
                <w:szCs w:val="21"/>
              </w:rPr>
            </w:pPr>
            <w:r>
              <w:rPr>
                <w:rFonts w:hint="eastAsia" w:ascii="宋体" w:hAnsi="宋体" w:eastAsia="宋体" w:cs="宋体"/>
                <w:color w:val="000000"/>
                <w:sz w:val="21"/>
                <w:szCs w:val="21"/>
              </w:rPr>
              <w:t>省</w:t>
            </w:r>
            <w:r>
              <w:rPr>
                <w:rFonts w:hint="eastAsia" w:ascii="宋体" w:hAnsi="宋体" w:eastAsia="宋体" w:cs="宋体"/>
                <w:color w:val="000000"/>
                <w:spacing w:val="-10"/>
                <w:sz w:val="21"/>
                <w:szCs w:val="21"/>
              </w:rPr>
              <w:t>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jc w:val="center"/>
        </w:trPr>
        <w:tc>
          <w:tcPr>
            <w:tcW w:w="866" w:type="dxa"/>
            <w:tcBorders>
              <w:top w:val="single" w:color="000000" w:sz="4" w:space="0"/>
              <w:left w:val="single" w:color="000000" w:sz="4" w:space="0"/>
              <w:bottom w:val="single" w:color="000000" w:sz="4" w:space="0"/>
              <w:right w:val="single" w:color="000000" w:sz="4" w:space="0"/>
            </w:tcBorders>
          </w:tcPr>
          <w:p>
            <w:pPr>
              <w:pStyle w:val="17"/>
              <w:spacing w:before="131"/>
              <w:ind w:left="94" w:right="87"/>
              <w:rPr>
                <w:rFonts w:hint="eastAsia" w:ascii="宋体" w:hAnsi="宋体" w:eastAsia="宋体" w:cs="宋体"/>
                <w:color w:val="000000"/>
                <w:sz w:val="21"/>
                <w:szCs w:val="21"/>
              </w:rPr>
            </w:pPr>
            <w:r>
              <w:rPr>
                <w:rFonts w:hint="eastAsia" w:ascii="宋体" w:hAnsi="宋体" w:eastAsia="宋体" w:cs="宋体"/>
                <w:color w:val="000000"/>
                <w:sz w:val="21"/>
                <w:szCs w:val="21"/>
              </w:rPr>
              <w:t>1395</w:t>
            </w:r>
          </w:p>
        </w:tc>
        <w:tc>
          <w:tcPr>
            <w:tcW w:w="976" w:type="dxa"/>
            <w:tcBorders>
              <w:top w:val="single" w:color="000000" w:sz="4" w:space="0"/>
              <w:left w:val="nil"/>
              <w:bottom w:val="single" w:color="000000" w:sz="4" w:space="0"/>
              <w:right w:val="single" w:color="000000" w:sz="4" w:space="0"/>
            </w:tcBorders>
          </w:tcPr>
          <w:p>
            <w:pPr>
              <w:pStyle w:val="17"/>
              <w:spacing w:before="131"/>
              <w:ind w:left="137" w:right="129"/>
              <w:rPr>
                <w:rFonts w:hint="eastAsia" w:ascii="宋体" w:hAnsi="宋体" w:eastAsia="宋体" w:cs="宋体"/>
                <w:color w:val="000000"/>
                <w:sz w:val="21"/>
                <w:szCs w:val="21"/>
              </w:rPr>
            </w:pPr>
            <w:r>
              <w:rPr>
                <w:rFonts w:hint="eastAsia" w:ascii="宋体" w:hAnsi="宋体" w:eastAsia="宋体" w:cs="宋体"/>
                <w:color w:val="000000"/>
                <w:sz w:val="21"/>
                <w:szCs w:val="21"/>
              </w:rPr>
              <w:t>595</w:t>
            </w:r>
          </w:p>
        </w:tc>
        <w:tc>
          <w:tcPr>
            <w:tcW w:w="902" w:type="dxa"/>
            <w:tcBorders>
              <w:top w:val="single" w:color="000000" w:sz="4" w:space="0"/>
              <w:left w:val="nil"/>
              <w:bottom w:val="single" w:color="000000" w:sz="4" w:space="0"/>
              <w:right w:val="single" w:color="000000" w:sz="4" w:space="0"/>
            </w:tcBorders>
          </w:tcPr>
          <w:p>
            <w:pPr>
              <w:pStyle w:val="17"/>
              <w:spacing w:before="131"/>
              <w:ind w:left="133" w:right="125"/>
              <w:rPr>
                <w:rFonts w:hint="eastAsia" w:ascii="宋体" w:hAnsi="宋体" w:eastAsia="宋体" w:cs="宋体"/>
                <w:color w:val="000000"/>
                <w:sz w:val="21"/>
                <w:szCs w:val="21"/>
              </w:rPr>
            </w:pPr>
            <w:r>
              <w:rPr>
                <w:rFonts w:hint="eastAsia" w:ascii="宋体" w:hAnsi="宋体" w:eastAsia="宋体" w:cs="宋体"/>
                <w:color w:val="000000"/>
                <w:spacing w:val="-5"/>
                <w:sz w:val="21"/>
                <w:szCs w:val="21"/>
              </w:rPr>
              <w:t>0</w:t>
            </w:r>
          </w:p>
        </w:tc>
        <w:tc>
          <w:tcPr>
            <w:tcW w:w="912" w:type="dxa"/>
            <w:tcBorders>
              <w:top w:val="single" w:color="000000" w:sz="4" w:space="0"/>
              <w:left w:val="nil"/>
              <w:bottom w:val="single" w:color="000000" w:sz="4" w:space="0"/>
              <w:right w:val="single" w:color="000000" w:sz="4" w:space="0"/>
            </w:tcBorders>
          </w:tcPr>
          <w:p>
            <w:pPr>
              <w:pStyle w:val="17"/>
              <w:spacing w:before="131"/>
              <w:ind w:left="41" w:right="35"/>
              <w:rPr>
                <w:rFonts w:hint="eastAsia" w:ascii="宋体" w:hAnsi="宋体" w:eastAsia="宋体" w:cs="宋体"/>
                <w:color w:val="000000"/>
                <w:sz w:val="21"/>
                <w:szCs w:val="21"/>
              </w:rPr>
            </w:pPr>
            <w:r>
              <w:rPr>
                <w:rFonts w:hint="eastAsia" w:ascii="宋体" w:hAnsi="宋体" w:eastAsia="宋体" w:cs="宋体"/>
                <w:color w:val="000000"/>
                <w:spacing w:val="-4"/>
                <w:sz w:val="21"/>
                <w:szCs w:val="21"/>
              </w:rPr>
              <w:t>1990</w:t>
            </w:r>
          </w:p>
        </w:tc>
        <w:tc>
          <w:tcPr>
            <w:tcW w:w="910" w:type="dxa"/>
            <w:tcBorders>
              <w:top w:val="single" w:color="000000" w:sz="4" w:space="0"/>
              <w:left w:val="nil"/>
              <w:bottom w:val="single" w:color="000000" w:sz="4" w:space="0"/>
              <w:right w:val="single" w:color="000000" w:sz="4" w:space="0"/>
            </w:tcBorders>
          </w:tcPr>
          <w:p>
            <w:pPr>
              <w:pStyle w:val="17"/>
              <w:spacing w:before="131"/>
              <w:ind w:left="43" w:right="35"/>
              <w:rPr>
                <w:rFonts w:hint="eastAsia" w:ascii="宋体" w:hAnsi="宋体" w:eastAsia="宋体" w:cs="宋体"/>
                <w:color w:val="000000"/>
                <w:sz w:val="21"/>
                <w:szCs w:val="21"/>
              </w:rPr>
            </w:pPr>
            <w:r>
              <w:rPr>
                <w:rFonts w:hint="eastAsia" w:ascii="宋体" w:hAnsi="宋体" w:eastAsia="宋体" w:cs="宋体"/>
                <w:color w:val="000000"/>
                <w:spacing w:val="-5"/>
                <w:sz w:val="21"/>
                <w:szCs w:val="21"/>
              </w:rPr>
              <w:t>0</w:t>
            </w:r>
          </w:p>
        </w:tc>
        <w:tc>
          <w:tcPr>
            <w:tcW w:w="1020" w:type="dxa"/>
            <w:tcBorders>
              <w:top w:val="single" w:color="000000" w:sz="4" w:space="0"/>
              <w:left w:val="nil"/>
              <w:bottom w:val="single" w:color="000000" w:sz="4" w:space="0"/>
              <w:right w:val="single" w:color="000000" w:sz="4" w:space="0"/>
            </w:tcBorders>
          </w:tcPr>
          <w:p>
            <w:pPr>
              <w:pStyle w:val="17"/>
              <w:spacing w:before="131"/>
              <w:ind w:left="8"/>
              <w:rPr>
                <w:rFonts w:hint="eastAsia" w:ascii="宋体" w:hAnsi="宋体" w:eastAsia="宋体" w:cs="宋体"/>
                <w:color w:val="000000"/>
                <w:sz w:val="21"/>
                <w:szCs w:val="21"/>
              </w:rPr>
            </w:pPr>
            <w:r>
              <w:rPr>
                <w:rFonts w:hint="eastAsia" w:ascii="宋体" w:hAnsi="宋体" w:eastAsia="宋体" w:cs="宋体"/>
                <w:color w:val="000000"/>
                <w:sz w:val="21"/>
                <w:szCs w:val="21"/>
              </w:rPr>
              <w:t>0</w:t>
            </w:r>
          </w:p>
        </w:tc>
        <w:tc>
          <w:tcPr>
            <w:tcW w:w="912" w:type="dxa"/>
            <w:tcBorders>
              <w:top w:val="single" w:color="000000" w:sz="4" w:space="0"/>
              <w:left w:val="nil"/>
              <w:bottom w:val="single" w:color="000000" w:sz="4" w:space="0"/>
              <w:right w:val="single" w:color="000000" w:sz="4" w:space="0"/>
            </w:tcBorders>
          </w:tcPr>
          <w:p>
            <w:pPr>
              <w:pStyle w:val="17"/>
              <w:spacing w:before="131"/>
              <w:ind w:left="43" w:right="33"/>
              <w:rPr>
                <w:rFonts w:hint="eastAsia" w:ascii="宋体" w:hAnsi="宋体" w:eastAsia="宋体" w:cs="宋体"/>
                <w:color w:val="000000"/>
                <w:sz w:val="21"/>
                <w:szCs w:val="21"/>
              </w:rPr>
            </w:pPr>
            <w:r>
              <w:rPr>
                <w:rFonts w:hint="eastAsia" w:ascii="宋体" w:hAnsi="宋体" w:eastAsia="宋体" w:cs="宋体"/>
                <w:color w:val="000000"/>
                <w:spacing w:val="-4"/>
                <w:sz w:val="21"/>
                <w:szCs w:val="21"/>
              </w:rPr>
              <w:t>1858</w:t>
            </w:r>
          </w:p>
        </w:tc>
        <w:tc>
          <w:tcPr>
            <w:tcW w:w="998" w:type="dxa"/>
            <w:tcBorders>
              <w:top w:val="single" w:color="000000" w:sz="4" w:space="0"/>
              <w:left w:val="nil"/>
              <w:bottom w:val="single" w:color="000000" w:sz="4" w:space="0"/>
              <w:right w:val="single" w:color="000000" w:sz="4" w:space="0"/>
            </w:tcBorders>
          </w:tcPr>
          <w:p>
            <w:pPr>
              <w:pStyle w:val="17"/>
              <w:spacing w:before="131"/>
              <w:ind w:left="10"/>
              <w:rPr>
                <w:rFonts w:hint="eastAsia" w:ascii="宋体" w:hAnsi="宋体" w:eastAsia="宋体" w:cs="宋体"/>
                <w:color w:val="000000"/>
                <w:sz w:val="21"/>
                <w:szCs w:val="21"/>
              </w:rPr>
            </w:pPr>
            <w:r>
              <w:rPr>
                <w:rFonts w:hint="eastAsia" w:ascii="宋体" w:hAnsi="宋体" w:eastAsia="宋体" w:cs="宋体"/>
                <w:color w:val="000000"/>
                <w:sz w:val="21"/>
                <w:szCs w:val="21"/>
              </w:rPr>
              <w:t>42</w:t>
            </w:r>
          </w:p>
        </w:tc>
      </w:tr>
    </w:tbl>
    <w:p>
      <w:pPr>
        <w:spacing w:line="360" w:lineRule="auto"/>
        <w:ind w:firstLine="482" w:firstLineChars="200"/>
        <w:jc w:val="center"/>
        <w:rPr>
          <w:rFonts w:hint="eastAsia" w:ascii="宋体" w:hAnsi="宋体" w:eastAsia="宋体" w:cs="宋体"/>
          <w:b/>
          <w:sz w:val="24"/>
          <w:szCs w:val="24"/>
          <w:lang w:eastAsia="zh-CN"/>
        </w:rPr>
      </w:pPr>
      <w:r>
        <w:rPr>
          <w:rFonts w:hint="eastAsia" w:ascii="宋体" w:hAnsi="宋体" w:eastAsia="宋体" w:cs="宋体"/>
          <w:b/>
          <w:sz w:val="24"/>
          <w:szCs w:val="24"/>
          <w:lang w:eastAsia="zh-CN"/>
        </w:rPr>
        <w:t>（数据来源：培训中心）</w:t>
      </w:r>
    </w:p>
    <w:p>
      <w:pPr>
        <w:spacing w:line="360" w:lineRule="auto"/>
        <w:ind w:firstLine="562" w:firstLineChars="200"/>
        <w:outlineLvl w:val="2"/>
        <w:rPr>
          <w:rFonts w:hint="eastAsia" w:ascii="宋体" w:hAnsi="宋体" w:eastAsia="宋体" w:cs="宋体"/>
          <w:b/>
          <w:sz w:val="28"/>
          <w:szCs w:val="28"/>
        </w:rPr>
      </w:pPr>
      <w:bookmarkStart w:id="23" w:name="_Toc27996"/>
      <w:r>
        <w:rPr>
          <w:rFonts w:hint="eastAsia" w:ascii="宋体" w:hAnsi="宋体" w:eastAsia="宋体" w:cs="宋体"/>
          <w:b/>
          <w:sz w:val="28"/>
          <w:szCs w:val="28"/>
        </w:rPr>
        <w:t>3.1.1.2招生情况</w:t>
      </w:r>
      <w:bookmarkEnd w:id="23"/>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2022年，我校学历继续教育共有函授生 595 人，业余生 1395 人；按层次分其中高起专 1990 人，专升本 0人；省内招生规模1858 人，省外在校生规模 42 人。与全日制在校生对比，人数占比 38%。</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b/>
          <w:sz w:val="24"/>
          <w:szCs w:val="24"/>
        </w:rPr>
        <w:t xml:space="preserve">    招生情况对比表</w:t>
      </w:r>
    </w:p>
    <w:p>
      <w:pPr>
        <w:ind w:firstLine="420"/>
        <w:rPr>
          <w:rFonts w:hint="eastAsia" w:ascii="宋体" w:hAnsi="宋体" w:eastAsia="宋体" w:cs="宋体"/>
        </w:rPr>
      </w:pPr>
    </w:p>
    <w:p>
      <w:pPr>
        <w:ind w:firstLine="420"/>
        <w:rPr>
          <w:rFonts w:hint="eastAsia" w:ascii="宋体" w:hAnsi="宋体" w:eastAsia="宋体" w:cs="宋体"/>
        </w:rPr>
      </w:pPr>
      <w:r>
        <w:rPr>
          <w:rFonts w:hint="eastAsia" w:ascii="宋体" w:hAnsi="宋体" w:eastAsia="宋体" w:cs="宋体"/>
        </w:rPr>
        <w:drawing>
          <wp:anchor distT="0" distB="0" distL="114300" distR="114300" simplePos="0" relativeHeight="251660288" behindDoc="0" locked="0" layoutInCell="1" allowOverlap="1">
            <wp:simplePos x="0" y="0"/>
            <wp:positionH relativeFrom="column">
              <wp:posOffset>107950</wp:posOffset>
            </wp:positionH>
            <wp:positionV relativeFrom="paragraph">
              <wp:posOffset>31750</wp:posOffset>
            </wp:positionV>
            <wp:extent cx="4959350" cy="2247900"/>
            <wp:effectExtent l="1905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973512" cy="2254319"/>
                    </a:xfrm>
                    <a:prstGeom prst="rect">
                      <a:avLst/>
                    </a:prstGeom>
                    <a:noFill/>
                    <a:ln>
                      <a:noFill/>
                    </a:ln>
                  </pic:spPr>
                </pic:pic>
              </a:graphicData>
            </a:graphic>
          </wp:anchor>
        </w:drawing>
      </w: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spacing w:line="360" w:lineRule="auto"/>
        <w:ind w:firstLine="482" w:firstLineChars="200"/>
        <w:jc w:val="center"/>
        <w:rPr>
          <w:rFonts w:hint="eastAsia" w:ascii="宋体" w:hAnsi="宋体" w:eastAsia="宋体" w:cs="宋体"/>
          <w:b/>
          <w:sz w:val="24"/>
          <w:szCs w:val="24"/>
        </w:rPr>
      </w:pPr>
      <w:r>
        <w:rPr>
          <w:rFonts w:hint="eastAsia" w:ascii="宋体" w:hAnsi="宋体" w:eastAsia="宋体" w:cs="宋体"/>
          <w:b/>
          <w:sz w:val="24"/>
          <w:szCs w:val="24"/>
        </w:rPr>
        <w:t>学历继续教育与在校生数对比情况表</w:t>
      </w:r>
    </w:p>
    <w:p>
      <w:pPr>
        <w:ind w:firstLine="420"/>
        <w:rPr>
          <w:rFonts w:hint="eastAsia" w:ascii="宋体" w:hAnsi="宋体" w:eastAsia="宋体" w:cs="宋体"/>
        </w:rPr>
      </w:pPr>
      <w:r>
        <w:rPr>
          <w:rFonts w:hint="eastAsia" w:ascii="宋体" w:hAnsi="宋体" w:eastAsia="宋体" w:cs="宋体"/>
        </w:rPr>
        <w:drawing>
          <wp:anchor distT="0" distB="0" distL="114300" distR="114300" simplePos="0" relativeHeight="251661312" behindDoc="0" locked="0" layoutInCell="1" allowOverlap="1">
            <wp:simplePos x="0" y="0"/>
            <wp:positionH relativeFrom="column">
              <wp:posOffset>234950</wp:posOffset>
            </wp:positionH>
            <wp:positionV relativeFrom="paragraph">
              <wp:posOffset>190500</wp:posOffset>
            </wp:positionV>
            <wp:extent cx="4577715" cy="2387600"/>
            <wp:effectExtent l="19050" t="0" r="13335" b="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ind w:firstLine="420"/>
        <w:rPr>
          <w:rFonts w:hint="eastAsia" w:ascii="宋体" w:hAnsi="宋体" w:eastAsia="宋体" w:cs="宋体"/>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rPr>
        <w:t>（数</w:t>
      </w:r>
      <w:r>
        <w:rPr>
          <w:rFonts w:hint="eastAsia" w:ascii="宋体" w:hAnsi="宋体" w:eastAsia="宋体" w:cs="宋体"/>
          <w:b/>
          <w:bCs/>
          <w:sz w:val="24"/>
          <w:szCs w:val="24"/>
          <w:lang w:eastAsia="zh-CN"/>
        </w:rPr>
        <w:t>据</w:t>
      </w:r>
      <w:r>
        <w:rPr>
          <w:rFonts w:hint="eastAsia" w:ascii="宋体" w:hAnsi="宋体" w:eastAsia="宋体" w:cs="宋体"/>
          <w:b/>
          <w:bCs/>
          <w:sz w:val="24"/>
          <w:szCs w:val="24"/>
        </w:rPr>
        <w:t>来源：培训中心）</w:t>
      </w:r>
    </w:p>
    <w:p>
      <w:pPr>
        <w:ind w:firstLine="420"/>
        <w:rPr>
          <w:rFonts w:hint="eastAsia" w:ascii="宋体" w:hAnsi="宋体" w:eastAsia="宋体" w:cs="宋体"/>
          <w:sz w:val="24"/>
          <w:szCs w:val="24"/>
        </w:rPr>
      </w:pPr>
    </w:p>
    <w:p>
      <w:pPr>
        <w:spacing w:line="500" w:lineRule="exact"/>
        <w:ind w:firstLine="562" w:firstLineChars="200"/>
        <w:outlineLvl w:val="2"/>
        <w:rPr>
          <w:rFonts w:hint="eastAsia" w:ascii="宋体" w:hAnsi="宋体" w:eastAsia="宋体" w:cs="宋体"/>
          <w:b/>
          <w:sz w:val="28"/>
          <w:szCs w:val="28"/>
        </w:rPr>
      </w:pPr>
      <w:bookmarkStart w:id="24" w:name="_Toc25415"/>
      <w:r>
        <w:rPr>
          <w:rFonts w:hint="eastAsia" w:ascii="宋体" w:hAnsi="宋体" w:eastAsia="宋体" w:cs="宋体"/>
          <w:b/>
          <w:sz w:val="28"/>
          <w:szCs w:val="28"/>
        </w:rPr>
        <w:t>3.1.1.3毕业情况</w:t>
      </w:r>
      <w:bookmarkEnd w:id="24"/>
    </w:p>
    <w:p>
      <w:pPr>
        <w:spacing w:line="5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2022年成人教育学生毕业生人数为289人，省内232人，省外57人。</w:t>
      </w:r>
    </w:p>
    <w:p>
      <w:pPr>
        <w:spacing w:line="500" w:lineRule="exact"/>
        <w:ind w:firstLine="562" w:firstLineChars="200"/>
        <w:outlineLvl w:val="1"/>
        <w:rPr>
          <w:rFonts w:hint="eastAsia" w:ascii="宋体" w:hAnsi="宋体" w:eastAsia="宋体" w:cs="宋体"/>
          <w:b/>
          <w:sz w:val="28"/>
          <w:szCs w:val="28"/>
        </w:rPr>
      </w:pPr>
      <w:bookmarkStart w:id="25" w:name="_Toc28621"/>
      <w:r>
        <w:rPr>
          <w:rFonts w:hint="eastAsia" w:ascii="宋体" w:hAnsi="宋体" w:eastAsia="宋体" w:cs="宋体"/>
          <w:b/>
          <w:sz w:val="28"/>
          <w:szCs w:val="28"/>
        </w:rPr>
        <w:t>3.1.2生源分析</w:t>
      </w:r>
      <w:bookmarkEnd w:id="25"/>
    </w:p>
    <w:p>
      <w:pPr>
        <w:spacing w:line="5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学校在籍学生男生 761 人，女生 1229 人，男女比例均衡。招生范围为湖南省境内，无外省招生计划，对象主要是湖南省内企事业单位、行业协会，高职院校学生等。 35 岁以下在籍学生比例占 85% ，绝大部分学生均为汉族，极少数是少数民族。学习需求主要还是以提升学历需求为主。招生主要依靠老生带新生、网络推广宣传、企业宣讲、微信等途径进行招生宣传。</w:t>
      </w:r>
    </w:p>
    <w:tbl>
      <w:tblPr>
        <w:tblStyle w:val="12"/>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848"/>
        <w:gridCol w:w="848"/>
        <w:gridCol w:w="848"/>
        <w:gridCol w:w="848"/>
        <w:gridCol w:w="766"/>
        <w:gridCol w:w="956"/>
        <w:gridCol w:w="596"/>
        <w:gridCol w:w="621"/>
        <w:gridCol w:w="727"/>
        <w:gridCol w:w="802"/>
        <w:gridCol w:w="9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9708" w:type="dxa"/>
            <w:gridSpan w:val="12"/>
            <w:tcBorders>
              <w:top w:val="single" w:color="000000" w:sz="4" w:space="0"/>
              <w:left w:val="single" w:color="000000" w:sz="4" w:space="0"/>
              <w:bottom w:val="single" w:color="000000" w:sz="4" w:space="0"/>
              <w:right w:val="single" w:color="000000" w:sz="4" w:space="0"/>
            </w:tcBorders>
            <w:shd w:val="clear" w:color="auto" w:fill="5B9BD4"/>
          </w:tcPr>
          <w:p>
            <w:pPr>
              <w:pStyle w:val="17"/>
              <w:spacing w:before="105"/>
              <w:ind w:left="3639" w:right="3622"/>
              <w:rPr>
                <w:rFonts w:hint="eastAsia" w:ascii="宋体" w:hAnsi="宋体" w:eastAsia="宋体" w:cs="宋体"/>
                <w:b/>
                <w:bCs/>
                <w:sz w:val="21"/>
                <w:szCs w:val="21"/>
              </w:rPr>
            </w:pPr>
            <w:r>
              <w:rPr>
                <w:rFonts w:hint="eastAsia" w:ascii="宋体" w:hAnsi="宋体" w:eastAsia="宋体" w:cs="宋体"/>
                <w:b/>
                <w:bCs/>
                <w:spacing w:val="-3"/>
                <w:sz w:val="21"/>
                <w:szCs w:val="21"/>
              </w:rPr>
              <w:t>学历继续教育生源分析表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938" w:type="dxa"/>
            <w:vMerge w:val="restart"/>
            <w:tcBorders>
              <w:top w:val="nil"/>
              <w:left w:val="single" w:color="000000" w:sz="4" w:space="0"/>
              <w:bottom w:val="single" w:color="000000" w:sz="4" w:space="0"/>
              <w:right w:val="single" w:color="000000" w:sz="4" w:space="0"/>
            </w:tcBorders>
          </w:tcPr>
          <w:p>
            <w:pPr>
              <w:pStyle w:val="17"/>
              <w:spacing w:before="11"/>
              <w:jc w:val="left"/>
              <w:rPr>
                <w:rFonts w:hint="eastAsia" w:ascii="宋体" w:hAnsi="宋体" w:eastAsia="宋体" w:cs="宋体"/>
                <w:sz w:val="21"/>
                <w:szCs w:val="21"/>
              </w:rPr>
            </w:pPr>
          </w:p>
          <w:p>
            <w:pPr>
              <w:pStyle w:val="17"/>
              <w:ind w:left="69"/>
              <w:jc w:val="left"/>
              <w:rPr>
                <w:rFonts w:hint="eastAsia" w:ascii="宋体" w:hAnsi="宋体" w:eastAsia="宋体" w:cs="宋体"/>
                <w:sz w:val="21"/>
                <w:szCs w:val="21"/>
              </w:rPr>
            </w:pPr>
            <w:r>
              <w:rPr>
                <w:rFonts w:hint="eastAsia" w:ascii="宋体" w:hAnsi="宋体" w:eastAsia="宋体" w:cs="宋体"/>
                <w:sz w:val="21"/>
                <w:szCs w:val="21"/>
              </w:rPr>
              <w:t>学校名</w:t>
            </w:r>
            <w:r>
              <w:rPr>
                <w:rFonts w:hint="eastAsia" w:ascii="宋体" w:hAnsi="宋体" w:eastAsia="宋体" w:cs="宋体"/>
                <w:spacing w:val="-10"/>
                <w:sz w:val="21"/>
                <w:szCs w:val="21"/>
              </w:rPr>
              <w:t>称</w:t>
            </w:r>
          </w:p>
        </w:tc>
        <w:tc>
          <w:tcPr>
            <w:tcW w:w="1696" w:type="dxa"/>
            <w:gridSpan w:val="2"/>
            <w:tcBorders>
              <w:top w:val="single" w:color="000000" w:sz="4" w:space="0"/>
              <w:left w:val="nil"/>
              <w:bottom w:val="single" w:color="000000" w:sz="4" w:space="0"/>
              <w:right w:val="single" w:color="000000" w:sz="4" w:space="0"/>
            </w:tcBorders>
          </w:tcPr>
          <w:p>
            <w:pPr>
              <w:pStyle w:val="17"/>
              <w:spacing w:before="46"/>
              <w:ind w:left="637" w:right="629"/>
              <w:rPr>
                <w:rFonts w:hint="eastAsia" w:ascii="宋体" w:hAnsi="宋体" w:eastAsia="宋体" w:cs="宋体"/>
                <w:sz w:val="21"/>
                <w:szCs w:val="21"/>
              </w:rPr>
            </w:pPr>
            <w:r>
              <w:rPr>
                <w:rFonts w:hint="eastAsia" w:ascii="宋体" w:hAnsi="宋体" w:eastAsia="宋体" w:cs="宋体"/>
                <w:sz w:val="21"/>
                <w:szCs w:val="21"/>
              </w:rPr>
              <w:t>性</w:t>
            </w:r>
            <w:r>
              <w:rPr>
                <w:rFonts w:hint="eastAsia" w:ascii="宋体" w:hAnsi="宋体" w:eastAsia="宋体" w:cs="宋体"/>
                <w:spacing w:val="-10"/>
                <w:sz w:val="21"/>
                <w:szCs w:val="21"/>
              </w:rPr>
              <w:t>别</w:t>
            </w:r>
          </w:p>
        </w:tc>
        <w:tc>
          <w:tcPr>
            <w:tcW w:w="3418" w:type="dxa"/>
            <w:gridSpan w:val="4"/>
            <w:tcBorders>
              <w:top w:val="single" w:color="000000" w:sz="4" w:space="0"/>
              <w:left w:val="nil"/>
              <w:bottom w:val="single" w:color="000000" w:sz="4" w:space="0"/>
              <w:right w:val="single" w:color="000000" w:sz="4" w:space="0"/>
            </w:tcBorders>
          </w:tcPr>
          <w:p>
            <w:pPr>
              <w:pStyle w:val="17"/>
              <w:spacing w:before="46"/>
              <w:ind w:left="1485" w:right="1478"/>
              <w:rPr>
                <w:rFonts w:hint="eastAsia" w:ascii="宋体" w:hAnsi="宋体" w:eastAsia="宋体" w:cs="宋体"/>
                <w:sz w:val="21"/>
                <w:szCs w:val="21"/>
              </w:rPr>
            </w:pPr>
            <w:r>
              <w:rPr>
                <w:rFonts w:hint="eastAsia" w:ascii="宋体" w:hAnsi="宋体" w:eastAsia="宋体" w:cs="宋体"/>
                <w:sz w:val="21"/>
                <w:szCs w:val="21"/>
              </w:rPr>
              <w:t>年</w:t>
            </w:r>
            <w:r>
              <w:rPr>
                <w:rFonts w:hint="eastAsia" w:ascii="宋体" w:hAnsi="宋体" w:eastAsia="宋体" w:cs="宋体"/>
                <w:spacing w:val="-10"/>
                <w:sz w:val="21"/>
                <w:szCs w:val="21"/>
              </w:rPr>
              <w:t>龄</w:t>
            </w:r>
          </w:p>
        </w:tc>
        <w:tc>
          <w:tcPr>
            <w:tcW w:w="1217" w:type="dxa"/>
            <w:gridSpan w:val="2"/>
            <w:tcBorders>
              <w:top w:val="single" w:color="000000" w:sz="4" w:space="0"/>
              <w:left w:val="nil"/>
              <w:bottom w:val="single" w:color="000000" w:sz="4" w:space="0"/>
              <w:right w:val="single" w:color="000000" w:sz="4" w:space="0"/>
            </w:tcBorders>
          </w:tcPr>
          <w:p>
            <w:pPr>
              <w:pStyle w:val="17"/>
              <w:spacing w:before="46"/>
              <w:ind w:left="410" w:right="401"/>
              <w:rPr>
                <w:rFonts w:hint="eastAsia" w:ascii="宋体" w:hAnsi="宋体" w:eastAsia="宋体" w:cs="宋体"/>
                <w:sz w:val="21"/>
                <w:szCs w:val="21"/>
              </w:rPr>
            </w:pPr>
            <w:r>
              <w:rPr>
                <w:rFonts w:hint="eastAsia" w:ascii="宋体" w:hAnsi="宋体" w:eastAsia="宋体" w:cs="宋体"/>
                <w:sz w:val="21"/>
                <w:szCs w:val="21"/>
              </w:rPr>
              <w:t>民</w:t>
            </w:r>
            <w:r>
              <w:rPr>
                <w:rFonts w:hint="eastAsia" w:ascii="宋体" w:hAnsi="宋体" w:eastAsia="宋体" w:cs="宋体"/>
                <w:spacing w:val="-10"/>
                <w:sz w:val="21"/>
                <w:szCs w:val="21"/>
              </w:rPr>
              <w:t>族</w:t>
            </w:r>
          </w:p>
        </w:tc>
        <w:tc>
          <w:tcPr>
            <w:tcW w:w="727" w:type="dxa"/>
            <w:tcBorders>
              <w:top w:val="single" w:color="000000" w:sz="4" w:space="0"/>
              <w:left w:val="nil"/>
              <w:bottom w:val="single" w:color="000000" w:sz="4" w:space="0"/>
              <w:right w:val="single" w:color="000000" w:sz="4" w:space="0"/>
            </w:tcBorders>
          </w:tcPr>
          <w:p>
            <w:pPr>
              <w:pStyle w:val="17"/>
              <w:spacing w:before="46"/>
              <w:ind w:left="63" w:right="55"/>
              <w:rPr>
                <w:rFonts w:hint="eastAsia" w:ascii="宋体" w:hAnsi="宋体" w:eastAsia="宋体" w:cs="宋体"/>
                <w:sz w:val="21"/>
                <w:szCs w:val="21"/>
              </w:rPr>
            </w:pPr>
            <w:r>
              <w:rPr>
                <w:rFonts w:hint="eastAsia" w:ascii="宋体" w:hAnsi="宋体" w:eastAsia="宋体" w:cs="宋体"/>
                <w:spacing w:val="-4"/>
                <w:sz w:val="21"/>
                <w:szCs w:val="21"/>
              </w:rPr>
              <w:t>生源地</w:t>
            </w:r>
          </w:p>
        </w:tc>
        <w:tc>
          <w:tcPr>
            <w:tcW w:w="802" w:type="dxa"/>
            <w:tcBorders>
              <w:top w:val="single" w:color="000000" w:sz="4" w:space="0"/>
              <w:left w:val="nil"/>
              <w:bottom w:val="single" w:color="000000" w:sz="4" w:space="0"/>
              <w:right w:val="single" w:color="000000" w:sz="4" w:space="0"/>
            </w:tcBorders>
          </w:tcPr>
          <w:p>
            <w:pPr>
              <w:pStyle w:val="17"/>
              <w:spacing w:before="46"/>
              <w:ind w:left="199"/>
              <w:jc w:val="left"/>
              <w:rPr>
                <w:rFonts w:hint="eastAsia" w:ascii="宋体" w:hAnsi="宋体" w:eastAsia="宋体" w:cs="宋体"/>
                <w:sz w:val="21"/>
                <w:szCs w:val="21"/>
              </w:rPr>
            </w:pPr>
            <w:r>
              <w:rPr>
                <w:rFonts w:hint="eastAsia" w:ascii="宋体" w:hAnsi="宋体" w:eastAsia="宋体" w:cs="宋体"/>
                <w:sz w:val="21"/>
                <w:szCs w:val="21"/>
              </w:rPr>
              <w:t>职</w:t>
            </w:r>
            <w:r>
              <w:rPr>
                <w:rFonts w:hint="eastAsia" w:ascii="宋体" w:hAnsi="宋体" w:eastAsia="宋体" w:cs="宋体"/>
                <w:spacing w:val="-10"/>
                <w:sz w:val="21"/>
                <w:szCs w:val="21"/>
              </w:rPr>
              <w:t>业</w:t>
            </w:r>
          </w:p>
        </w:tc>
        <w:tc>
          <w:tcPr>
            <w:tcW w:w="910" w:type="dxa"/>
            <w:tcBorders>
              <w:top w:val="single" w:color="000000" w:sz="4" w:space="0"/>
              <w:left w:val="nil"/>
              <w:bottom w:val="single" w:color="000000" w:sz="4" w:space="0"/>
              <w:right w:val="single" w:color="000000" w:sz="4" w:space="0"/>
            </w:tcBorders>
          </w:tcPr>
          <w:p>
            <w:pPr>
              <w:pStyle w:val="17"/>
              <w:spacing w:before="46"/>
              <w:ind w:left="60" w:right="50"/>
              <w:rPr>
                <w:rFonts w:hint="eastAsia" w:ascii="宋体" w:hAnsi="宋体" w:eastAsia="宋体" w:cs="宋体"/>
                <w:sz w:val="21"/>
                <w:szCs w:val="21"/>
              </w:rPr>
            </w:pPr>
            <w:r>
              <w:rPr>
                <w:rFonts w:hint="eastAsia" w:ascii="宋体" w:hAnsi="宋体" w:eastAsia="宋体" w:cs="宋体"/>
                <w:sz w:val="21"/>
                <w:szCs w:val="21"/>
              </w:rPr>
              <w:t>学习需</w:t>
            </w:r>
            <w:r>
              <w:rPr>
                <w:rFonts w:hint="eastAsia" w:ascii="宋体" w:hAnsi="宋体" w:eastAsia="宋体" w:cs="宋体"/>
                <w:spacing w:val="-10"/>
                <w:sz w:val="21"/>
                <w:szCs w:val="21"/>
              </w:rPr>
              <w:t>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938" w:type="dxa"/>
            <w:vMerge w:val="continue"/>
            <w:tcBorders>
              <w:top w:val="nil"/>
              <w:left w:val="single" w:color="000000" w:sz="4" w:space="0"/>
              <w:bottom w:val="single" w:color="000000" w:sz="4" w:space="0"/>
              <w:right w:val="single" w:color="000000" w:sz="4" w:space="0"/>
            </w:tcBorders>
            <w:vAlign w:val="center"/>
          </w:tcPr>
          <w:p>
            <w:pPr>
              <w:widowControl/>
              <w:rPr>
                <w:rFonts w:hint="eastAsia" w:ascii="宋体" w:hAnsi="宋体" w:eastAsia="宋体" w:cs="宋体"/>
                <w:szCs w:val="21"/>
              </w:rPr>
            </w:pPr>
          </w:p>
        </w:tc>
        <w:tc>
          <w:tcPr>
            <w:tcW w:w="848" w:type="dxa"/>
            <w:tcBorders>
              <w:top w:val="single" w:color="000000" w:sz="4" w:space="0"/>
              <w:left w:val="nil"/>
              <w:bottom w:val="single" w:color="000000" w:sz="4" w:space="0"/>
              <w:right w:val="single" w:color="000000" w:sz="4" w:space="0"/>
            </w:tcBorders>
          </w:tcPr>
          <w:p>
            <w:pPr>
              <w:pStyle w:val="17"/>
              <w:spacing w:before="8"/>
              <w:jc w:val="left"/>
              <w:rPr>
                <w:rFonts w:hint="eastAsia" w:ascii="宋体" w:hAnsi="宋体" w:eastAsia="宋体" w:cs="宋体"/>
                <w:sz w:val="21"/>
                <w:szCs w:val="21"/>
              </w:rPr>
            </w:pPr>
          </w:p>
          <w:p>
            <w:pPr>
              <w:pStyle w:val="17"/>
              <w:ind w:left="9"/>
              <w:rPr>
                <w:rFonts w:hint="eastAsia" w:ascii="宋体" w:hAnsi="宋体" w:eastAsia="宋体" w:cs="宋体"/>
                <w:sz w:val="21"/>
                <w:szCs w:val="21"/>
              </w:rPr>
            </w:pPr>
            <w:r>
              <w:rPr>
                <w:rFonts w:hint="eastAsia" w:ascii="宋体" w:hAnsi="宋体" w:eastAsia="宋体" w:cs="宋体"/>
                <w:sz w:val="21"/>
                <w:szCs w:val="21"/>
              </w:rPr>
              <w:t>男</w:t>
            </w:r>
          </w:p>
        </w:tc>
        <w:tc>
          <w:tcPr>
            <w:tcW w:w="848" w:type="dxa"/>
            <w:tcBorders>
              <w:top w:val="single" w:color="000000" w:sz="4" w:space="0"/>
              <w:left w:val="nil"/>
              <w:bottom w:val="single" w:color="000000" w:sz="4" w:space="0"/>
              <w:right w:val="single" w:color="000000" w:sz="4" w:space="0"/>
            </w:tcBorders>
          </w:tcPr>
          <w:p>
            <w:pPr>
              <w:pStyle w:val="17"/>
              <w:spacing w:before="8"/>
              <w:jc w:val="left"/>
              <w:rPr>
                <w:rFonts w:hint="eastAsia" w:ascii="宋体" w:hAnsi="宋体" w:eastAsia="宋体" w:cs="宋体"/>
                <w:sz w:val="21"/>
                <w:szCs w:val="21"/>
              </w:rPr>
            </w:pPr>
          </w:p>
          <w:p>
            <w:pPr>
              <w:pStyle w:val="17"/>
              <w:ind w:left="8"/>
              <w:rPr>
                <w:rFonts w:hint="eastAsia" w:ascii="宋体" w:hAnsi="宋体" w:eastAsia="宋体" w:cs="宋体"/>
                <w:sz w:val="21"/>
                <w:szCs w:val="21"/>
              </w:rPr>
            </w:pPr>
            <w:r>
              <w:rPr>
                <w:rFonts w:hint="eastAsia" w:ascii="宋体" w:hAnsi="宋体" w:eastAsia="宋体" w:cs="宋体"/>
                <w:sz w:val="21"/>
                <w:szCs w:val="21"/>
              </w:rPr>
              <w:t>女</w:t>
            </w:r>
          </w:p>
        </w:tc>
        <w:tc>
          <w:tcPr>
            <w:tcW w:w="848" w:type="dxa"/>
            <w:tcBorders>
              <w:top w:val="single" w:color="000000" w:sz="4" w:space="0"/>
              <w:left w:val="nil"/>
              <w:bottom w:val="single" w:color="000000" w:sz="4" w:space="0"/>
              <w:right w:val="single" w:color="000000" w:sz="4" w:space="0"/>
            </w:tcBorders>
          </w:tcPr>
          <w:p>
            <w:pPr>
              <w:pStyle w:val="17"/>
              <w:spacing w:before="8"/>
              <w:jc w:val="left"/>
              <w:rPr>
                <w:rFonts w:hint="eastAsia" w:ascii="宋体" w:hAnsi="宋体" w:eastAsia="宋体" w:cs="宋体"/>
                <w:sz w:val="21"/>
                <w:szCs w:val="21"/>
              </w:rPr>
            </w:pPr>
          </w:p>
          <w:p>
            <w:pPr>
              <w:pStyle w:val="17"/>
              <w:ind w:left="26" w:right="20"/>
              <w:rPr>
                <w:rFonts w:hint="eastAsia" w:ascii="宋体" w:hAnsi="宋体" w:eastAsia="宋体" w:cs="宋体"/>
                <w:sz w:val="21"/>
                <w:szCs w:val="21"/>
              </w:rPr>
            </w:pPr>
            <w:r>
              <w:rPr>
                <w:rFonts w:hint="eastAsia" w:ascii="宋体" w:hAnsi="宋体" w:eastAsia="宋体" w:cs="宋体"/>
                <w:sz w:val="21"/>
                <w:szCs w:val="21"/>
              </w:rPr>
              <w:t>18</w:t>
            </w:r>
            <w:r>
              <w:rPr>
                <w:rFonts w:hint="eastAsia" w:ascii="宋体" w:hAnsi="宋体" w:eastAsia="宋体" w:cs="宋体"/>
                <w:spacing w:val="1"/>
                <w:sz w:val="21"/>
                <w:szCs w:val="21"/>
              </w:rPr>
              <w:t> </w:t>
            </w:r>
            <w:r>
              <w:rPr>
                <w:rFonts w:hint="eastAsia" w:ascii="宋体" w:hAnsi="宋体" w:eastAsia="宋体" w:cs="宋体"/>
                <w:sz w:val="21"/>
                <w:szCs w:val="21"/>
              </w:rPr>
              <w:t>以</w:t>
            </w:r>
            <w:r>
              <w:rPr>
                <w:rFonts w:hint="eastAsia" w:ascii="宋体" w:hAnsi="宋体" w:eastAsia="宋体" w:cs="宋体"/>
                <w:spacing w:val="-10"/>
                <w:sz w:val="21"/>
                <w:szCs w:val="21"/>
              </w:rPr>
              <w:t>下</w:t>
            </w:r>
          </w:p>
        </w:tc>
        <w:tc>
          <w:tcPr>
            <w:tcW w:w="848" w:type="dxa"/>
            <w:tcBorders>
              <w:top w:val="single" w:color="000000" w:sz="4" w:space="0"/>
              <w:left w:val="nil"/>
              <w:bottom w:val="single" w:color="000000" w:sz="4" w:space="0"/>
              <w:right w:val="single" w:color="000000" w:sz="4" w:space="0"/>
            </w:tcBorders>
          </w:tcPr>
          <w:p>
            <w:pPr>
              <w:pStyle w:val="17"/>
              <w:spacing w:before="8"/>
              <w:jc w:val="left"/>
              <w:rPr>
                <w:rFonts w:hint="eastAsia" w:ascii="宋体" w:hAnsi="宋体" w:eastAsia="宋体" w:cs="宋体"/>
                <w:sz w:val="21"/>
                <w:szCs w:val="21"/>
              </w:rPr>
            </w:pPr>
          </w:p>
          <w:p>
            <w:pPr>
              <w:pStyle w:val="17"/>
              <w:ind w:left="31" w:right="19"/>
              <w:rPr>
                <w:rFonts w:hint="eastAsia" w:ascii="宋体" w:hAnsi="宋体" w:eastAsia="宋体" w:cs="宋体"/>
                <w:sz w:val="21"/>
                <w:szCs w:val="21"/>
              </w:rPr>
            </w:pPr>
            <w:r>
              <w:rPr>
                <w:rFonts w:hint="eastAsia" w:ascii="宋体" w:hAnsi="宋体" w:eastAsia="宋体" w:cs="宋体"/>
                <w:sz w:val="21"/>
                <w:szCs w:val="21"/>
              </w:rPr>
              <w:t>18-25</w:t>
            </w:r>
            <w:r>
              <w:rPr>
                <w:rFonts w:hint="eastAsia" w:ascii="宋体" w:hAnsi="宋体" w:eastAsia="宋体" w:cs="宋体"/>
                <w:spacing w:val="1"/>
                <w:sz w:val="21"/>
                <w:szCs w:val="21"/>
              </w:rPr>
              <w:t> </w:t>
            </w:r>
            <w:r>
              <w:rPr>
                <w:rFonts w:hint="eastAsia" w:ascii="宋体" w:hAnsi="宋体" w:eastAsia="宋体" w:cs="宋体"/>
                <w:spacing w:val="-10"/>
                <w:sz w:val="21"/>
                <w:szCs w:val="21"/>
              </w:rPr>
              <w:t>岁</w:t>
            </w:r>
          </w:p>
        </w:tc>
        <w:tc>
          <w:tcPr>
            <w:tcW w:w="766" w:type="dxa"/>
            <w:tcBorders>
              <w:top w:val="single" w:color="000000" w:sz="4" w:space="0"/>
              <w:left w:val="nil"/>
              <w:bottom w:val="single" w:color="000000" w:sz="4" w:space="0"/>
              <w:right w:val="single" w:color="000000" w:sz="4" w:space="0"/>
            </w:tcBorders>
          </w:tcPr>
          <w:p>
            <w:pPr>
              <w:pStyle w:val="17"/>
              <w:spacing w:before="8"/>
              <w:jc w:val="left"/>
              <w:rPr>
                <w:rFonts w:hint="eastAsia" w:ascii="宋体" w:hAnsi="宋体" w:eastAsia="宋体" w:cs="宋体"/>
                <w:sz w:val="21"/>
                <w:szCs w:val="21"/>
              </w:rPr>
            </w:pPr>
          </w:p>
          <w:p>
            <w:pPr>
              <w:pStyle w:val="17"/>
              <w:ind w:left="30" w:right="20"/>
              <w:rPr>
                <w:rFonts w:hint="eastAsia" w:ascii="宋体" w:hAnsi="宋体" w:eastAsia="宋体" w:cs="宋体"/>
                <w:sz w:val="21"/>
                <w:szCs w:val="21"/>
              </w:rPr>
            </w:pPr>
            <w:r>
              <w:rPr>
                <w:rFonts w:hint="eastAsia" w:ascii="宋体" w:hAnsi="宋体" w:eastAsia="宋体" w:cs="宋体"/>
                <w:sz w:val="21"/>
                <w:szCs w:val="21"/>
              </w:rPr>
              <w:t>26-35</w:t>
            </w:r>
            <w:r>
              <w:rPr>
                <w:rFonts w:hint="eastAsia" w:ascii="宋体" w:hAnsi="宋体" w:eastAsia="宋体" w:cs="宋体"/>
                <w:spacing w:val="1"/>
                <w:sz w:val="21"/>
                <w:szCs w:val="21"/>
              </w:rPr>
              <w:t> </w:t>
            </w:r>
            <w:r>
              <w:rPr>
                <w:rFonts w:hint="eastAsia" w:ascii="宋体" w:hAnsi="宋体" w:eastAsia="宋体" w:cs="宋体"/>
                <w:spacing w:val="-10"/>
                <w:sz w:val="21"/>
                <w:szCs w:val="21"/>
              </w:rPr>
              <w:t>岁</w:t>
            </w:r>
          </w:p>
        </w:tc>
        <w:tc>
          <w:tcPr>
            <w:tcW w:w="956" w:type="dxa"/>
            <w:tcBorders>
              <w:top w:val="single" w:color="000000" w:sz="4" w:space="0"/>
              <w:left w:val="nil"/>
              <w:bottom w:val="single" w:color="000000" w:sz="4" w:space="0"/>
              <w:right w:val="single" w:color="000000" w:sz="4" w:space="0"/>
            </w:tcBorders>
          </w:tcPr>
          <w:p>
            <w:pPr>
              <w:pStyle w:val="17"/>
              <w:spacing w:before="44"/>
              <w:ind w:left="73" w:right="68"/>
              <w:rPr>
                <w:rFonts w:hint="eastAsia" w:ascii="宋体" w:hAnsi="宋体" w:eastAsia="宋体" w:cs="宋体"/>
                <w:sz w:val="21"/>
                <w:szCs w:val="21"/>
              </w:rPr>
            </w:pPr>
            <w:r>
              <w:rPr>
                <w:rFonts w:hint="eastAsia" w:ascii="宋体" w:hAnsi="宋体" w:eastAsia="宋体" w:cs="宋体"/>
                <w:sz w:val="21"/>
                <w:szCs w:val="21"/>
              </w:rPr>
              <w:t>35岁</w:t>
            </w:r>
          </w:p>
          <w:p>
            <w:pPr>
              <w:pStyle w:val="17"/>
              <w:spacing w:before="44"/>
              <w:ind w:left="73" w:right="68"/>
              <w:rPr>
                <w:rFonts w:hint="eastAsia" w:ascii="宋体" w:hAnsi="宋体" w:eastAsia="宋体" w:cs="宋体"/>
                <w:sz w:val="21"/>
                <w:szCs w:val="21"/>
              </w:rPr>
            </w:pPr>
            <w:r>
              <w:rPr>
                <w:rFonts w:hint="eastAsia" w:ascii="宋体" w:hAnsi="宋体" w:eastAsia="宋体" w:cs="宋体"/>
                <w:spacing w:val="-10"/>
                <w:sz w:val="21"/>
                <w:szCs w:val="21"/>
              </w:rPr>
              <w:t>以</w:t>
            </w:r>
            <w:r>
              <w:rPr>
                <w:rFonts w:hint="eastAsia" w:ascii="宋体" w:hAnsi="宋体" w:eastAsia="宋体" w:cs="宋体"/>
                <w:sz w:val="21"/>
                <w:szCs w:val="21"/>
              </w:rPr>
              <w:t>上</w:t>
            </w:r>
          </w:p>
        </w:tc>
        <w:tc>
          <w:tcPr>
            <w:tcW w:w="596" w:type="dxa"/>
            <w:tcBorders>
              <w:top w:val="single" w:color="000000" w:sz="4" w:space="0"/>
              <w:left w:val="nil"/>
              <w:bottom w:val="single" w:color="000000" w:sz="4" w:space="0"/>
              <w:right w:val="single" w:color="000000" w:sz="4" w:space="0"/>
            </w:tcBorders>
          </w:tcPr>
          <w:p>
            <w:pPr>
              <w:pStyle w:val="17"/>
              <w:spacing w:before="8"/>
              <w:jc w:val="left"/>
              <w:rPr>
                <w:rFonts w:hint="eastAsia" w:ascii="宋体" w:hAnsi="宋体" w:eastAsia="宋体" w:cs="宋体"/>
                <w:sz w:val="21"/>
                <w:szCs w:val="21"/>
              </w:rPr>
            </w:pPr>
          </w:p>
          <w:p>
            <w:pPr>
              <w:pStyle w:val="17"/>
              <w:ind w:left="109"/>
              <w:jc w:val="left"/>
              <w:rPr>
                <w:rFonts w:hint="eastAsia" w:ascii="宋体" w:hAnsi="宋体" w:eastAsia="宋体" w:cs="宋体"/>
                <w:sz w:val="21"/>
                <w:szCs w:val="21"/>
              </w:rPr>
            </w:pPr>
            <w:r>
              <w:rPr>
                <w:rFonts w:hint="eastAsia" w:ascii="宋体" w:hAnsi="宋体" w:eastAsia="宋体" w:cs="宋体"/>
                <w:sz w:val="21"/>
                <w:szCs w:val="21"/>
              </w:rPr>
              <w:t>汉</w:t>
            </w:r>
            <w:r>
              <w:rPr>
                <w:rFonts w:hint="eastAsia" w:ascii="宋体" w:hAnsi="宋体" w:eastAsia="宋体" w:cs="宋体"/>
                <w:spacing w:val="-10"/>
                <w:sz w:val="21"/>
                <w:szCs w:val="21"/>
              </w:rPr>
              <w:t>族</w:t>
            </w:r>
          </w:p>
        </w:tc>
        <w:tc>
          <w:tcPr>
            <w:tcW w:w="621" w:type="dxa"/>
            <w:tcBorders>
              <w:top w:val="single" w:color="000000" w:sz="4" w:space="0"/>
              <w:left w:val="nil"/>
              <w:bottom w:val="single" w:color="000000" w:sz="4" w:space="0"/>
              <w:right w:val="single" w:color="000000" w:sz="4" w:space="0"/>
            </w:tcBorders>
          </w:tcPr>
          <w:p>
            <w:pPr>
              <w:pStyle w:val="17"/>
              <w:spacing w:before="44"/>
              <w:ind w:left="110"/>
              <w:jc w:val="left"/>
              <w:rPr>
                <w:rFonts w:hint="eastAsia" w:ascii="宋体" w:hAnsi="宋体" w:eastAsia="宋体" w:cs="宋体"/>
                <w:sz w:val="21"/>
                <w:szCs w:val="21"/>
              </w:rPr>
            </w:pPr>
            <w:r>
              <w:rPr>
                <w:rFonts w:hint="eastAsia" w:ascii="宋体" w:hAnsi="宋体" w:eastAsia="宋体" w:cs="宋体"/>
                <w:sz w:val="21"/>
                <w:szCs w:val="21"/>
              </w:rPr>
              <w:t>少</w:t>
            </w:r>
            <w:r>
              <w:rPr>
                <w:rFonts w:hint="eastAsia" w:ascii="宋体" w:hAnsi="宋体" w:eastAsia="宋体" w:cs="宋体"/>
                <w:spacing w:val="-10"/>
                <w:sz w:val="21"/>
                <w:szCs w:val="21"/>
              </w:rPr>
              <w:t>数</w:t>
            </w:r>
          </w:p>
          <w:p>
            <w:pPr>
              <w:pStyle w:val="17"/>
              <w:spacing w:before="56"/>
              <w:ind w:left="110"/>
              <w:jc w:val="left"/>
              <w:rPr>
                <w:rFonts w:hint="eastAsia" w:ascii="宋体" w:hAnsi="宋体" w:eastAsia="宋体" w:cs="宋体"/>
                <w:sz w:val="21"/>
                <w:szCs w:val="21"/>
              </w:rPr>
            </w:pPr>
            <w:r>
              <w:rPr>
                <w:rFonts w:hint="eastAsia" w:ascii="宋体" w:hAnsi="宋体" w:eastAsia="宋体" w:cs="宋体"/>
                <w:sz w:val="21"/>
                <w:szCs w:val="21"/>
              </w:rPr>
              <w:t>民</w:t>
            </w:r>
            <w:r>
              <w:rPr>
                <w:rFonts w:hint="eastAsia" w:ascii="宋体" w:hAnsi="宋体" w:eastAsia="宋体" w:cs="宋体"/>
                <w:spacing w:val="-10"/>
                <w:sz w:val="21"/>
                <w:szCs w:val="21"/>
              </w:rPr>
              <w:t>族</w:t>
            </w:r>
          </w:p>
        </w:tc>
        <w:tc>
          <w:tcPr>
            <w:tcW w:w="727" w:type="dxa"/>
            <w:tcBorders>
              <w:top w:val="single" w:color="000000" w:sz="4" w:space="0"/>
              <w:left w:val="nil"/>
              <w:bottom w:val="single" w:color="000000" w:sz="4" w:space="0"/>
              <w:right w:val="single" w:color="000000" w:sz="4" w:space="0"/>
            </w:tcBorders>
          </w:tcPr>
          <w:p>
            <w:pPr>
              <w:pStyle w:val="17"/>
              <w:spacing w:before="8"/>
              <w:jc w:val="left"/>
              <w:rPr>
                <w:rFonts w:hint="eastAsia" w:ascii="宋体" w:hAnsi="宋体" w:eastAsia="宋体" w:cs="宋体"/>
                <w:sz w:val="21"/>
                <w:szCs w:val="21"/>
              </w:rPr>
            </w:pPr>
          </w:p>
          <w:p>
            <w:pPr>
              <w:pStyle w:val="17"/>
              <w:ind w:left="63" w:right="55"/>
              <w:rPr>
                <w:rFonts w:hint="eastAsia" w:ascii="宋体" w:hAnsi="宋体" w:eastAsia="宋体" w:cs="宋体"/>
                <w:sz w:val="21"/>
                <w:szCs w:val="21"/>
              </w:rPr>
            </w:pPr>
            <w:r>
              <w:rPr>
                <w:rFonts w:hint="eastAsia" w:ascii="宋体" w:hAnsi="宋体" w:eastAsia="宋体" w:cs="宋体"/>
                <w:sz w:val="21"/>
                <w:szCs w:val="21"/>
              </w:rPr>
              <w:t>湖</w:t>
            </w:r>
            <w:r>
              <w:rPr>
                <w:rFonts w:hint="eastAsia" w:ascii="宋体" w:hAnsi="宋体" w:eastAsia="宋体" w:cs="宋体"/>
                <w:spacing w:val="-10"/>
                <w:sz w:val="21"/>
                <w:szCs w:val="21"/>
              </w:rPr>
              <w:t>南</w:t>
            </w:r>
          </w:p>
        </w:tc>
        <w:tc>
          <w:tcPr>
            <w:tcW w:w="802" w:type="dxa"/>
            <w:tcBorders>
              <w:top w:val="single" w:color="000000" w:sz="4" w:space="0"/>
              <w:left w:val="nil"/>
              <w:bottom w:val="single" w:color="000000" w:sz="4" w:space="0"/>
              <w:right w:val="single" w:color="000000" w:sz="4" w:space="0"/>
            </w:tcBorders>
          </w:tcPr>
          <w:p>
            <w:pPr>
              <w:pStyle w:val="17"/>
              <w:spacing w:before="44"/>
              <w:ind w:left="101"/>
              <w:jc w:val="left"/>
              <w:rPr>
                <w:rFonts w:hint="eastAsia" w:ascii="宋体" w:hAnsi="宋体" w:eastAsia="宋体" w:cs="宋体"/>
                <w:sz w:val="21"/>
                <w:szCs w:val="21"/>
              </w:rPr>
            </w:pPr>
            <w:r>
              <w:rPr>
                <w:rFonts w:hint="eastAsia" w:ascii="宋体" w:hAnsi="宋体" w:eastAsia="宋体" w:cs="宋体"/>
                <w:spacing w:val="-4"/>
                <w:sz w:val="21"/>
                <w:szCs w:val="21"/>
              </w:rPr>
              <w:t>其他从</w:t>
            </w:r>
          </w:p>
          <w:p>
            <w:pPr>
              <w:pStyle w:val="17"/>
              <w:spacing w:before="56"/>
              <w:ind w:left="101"/>
              <w:jc w:val="left"/>
              <w:rPr>
                <w:rFonts w:hint="eastAsia" w:ascii="宋体" w:hAnsi="宋体" w:eastAsia="宋体" w:cs="宋体"/>
                <w:sz w:val="21"/>
                <w:szCs w:val="21"/>
              </w:rPr>
            </w:pPr>
            <w:r>
              <w:rPr>
                <w:rFonts w:hint="eastAsia" w:ascii="宋体" w:hAnsi="宋体" w:eastAsia="宋体" w:cs="宋体"/>
                <w:spacing w:val="-4"/>
                <w:sz w:val="21"/>
                <w:szCs w:val="21"/>
              </w:rPr>
              <w:t>业人员</w:t>
            </w:r>
          </w:p>
        </w:tc>
        <w:tc>
          <w:tcPr>
            <w:tcW w:w="910" w:type="dxa"/>
            <w:tcBorders>
              <w:top w:val="single" w:color="000000" w:sz="4" w:space="0"/>
              <w:left w:val="nil"/>
              <w:bottom w:val="single" w:color="000000" w:sz="4" w:space="0"/>
              <w:right w:val="single" w:color="000000" w:sz="4" w:space="0"/>
            </w:tcBorders>
          </w:tcPr>
          <w:p>
            <w:pPr>
              <w:pStyle w:val="17"/>
              <w:spacing w:before="44"/>
              <w:ind w:left="55"/>
              <w:jc w:val="left"/>
              <w:rPr>
                <w:rFonts w:hint="eastAsia" w:ascii="宋体" w:hAnsi="宋体" w:eastAsia="宋体" w:cs="宋体"/>
                <w:sz w:val="21"/>
                <w:szCs w:val="21"/>
              </w:rPr>
            </w:pPr>
            <w:r>
              <w:rPr>
                <w:rFonts w:hint="eastAsia" w:ascii="宋体" w:hAnsi="宋体" w:eastAsia="宋体" w:cs="宋体"/>
                <w:sz w:val="21"/>
                <w:szCs w:val="21"/>
              </w:rPr>
              <w:t>提升学</w:t>
            </w:r>
            <w:r>
              <w:rPr>
                <w:rFonts w:hint="eastAsia" w:ascii="宋体" w:hAnsi="宋体" w:eastAsia="宋体" w:cs="宋体"/>
                <w:spacing w:val="-10"/>
                <w:sz w:val="21"/>
                <w:szCs w:val="21"/>
              </w:rPr>
              <w:t>历</w:t>
            </w:r>
          </w:p>
          <w:p>
            <w:pPr>
              <w:pStyle w:val="17"/>
              <w:spacing w:before="56"/>
              <w:ind w:left="55"/>
              <w:jc w:val="left"/>
              <w:rPr>
                <w:rFonts w:hint="eastAsia" w:ascii="宋体" w:hAnsi="宋体" w:eastAsia="宋体" w:cs="宋体"/>
                <w:sz w:val="21"/>
                <w:szCs w:val="21"/>
              </w:rPr>
            </w:pPr>
            <w:r>
              <w:rPr>
                <w:rFonts w:hint="eastAsia" w:ascii="宋体" w:hAnsi="宋体" w:eastAsia="宋体" w:cs="宋体"/>
                <w:sz w:val="21"/>
                <w:szCs w:val="21"/>
              </w:rPr>
              <w:t>层次需</w:t>
            </w:r>
            <w:r>
              <w:rPr>
                <w:rFonts w:hint="eastAsia" w:ascii="宋体" w:hAnsi="宋体" w:eastAsia="宋体" w:cs="宋体"/>
                <w:spacing w:val="-10"/>
                <w:sz w:val="21"/>
                <w:szCs w:val="21"/>
              </w:rPr>
              <w:t>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938" w:type="dxa"/>
            <w:tcBorders>
              <w:top w:val="single" w:color="000000" w:sz="4" w:space="0"/>
              <w:left w:val="single" w:color="000000" w:sz="4" w:space="0"/>
              <w:bottom w:val="single" w:color="000000" w:sz="4" w:space="0"/>
              <w:right w:val="single" w:color="000000" w:sz="4" w:space="0"/>
            </w:tcBorders>
          </w:tcPr>
          <w:p>
            <w:pPr>
              <w:pStyle w:val="17"/>
              <w:spacing w:before="43"/>
              <w:ind w:left="69"/>
              <w:jc w:val="left"/>
              <w:rPr>
                <w:rFonts w:hint="eastAsia" w:ascii="宋体" w:hAnsi="宋体" w:eastAsia="宋体" w:cs="宋体"/>
                <w:sz w:val="21"/>
                <w:szCs w:val="21"/>
              </w:rPr>
            </w:pPr>
            <w:r>
              <w:rPr>
                <w:rFonts w:hint="eastAsia" w:ascii="宋体" w:hAnsi="宋体" w:eastAsia="宋体" w:cs="宋体"/>
                <w:sz w:val="21"/>
                <w:szCs w:val="21"/>
              </w:rPr>
              <w:t>湖南外</w:t>
            </w:r>
            <w:r>
              <w:rPr>
                <w:rFonts w:hint="eastAsia" w:ascii="宋体" w:hAnsi="宋体" w:eastAsia="宋体" w:cs="宋体"/>
                <w:spacing w:val="-10"/>
                <w:sz w:val="21"/>
                <w:szCs w:val="21"/>
              </w:rPr>
              <w:t>贸</w:t>
            </w:r>
          </w:p>
          <w:p>
            <w:pPr>
              <w:pStyle w:val="17"/>
              <w:spacing w:before="56"/>
              <w:ind w:left="69"/>
              <w:jc w:val="left"/>
              <w:rPr>
                <w:rFonts w:hint="eastAsia" w:ascii="宋体" w:hAnsi="宋体" w:eastAsia="宋体" w:cs="宋体"/>
                <w:sz w:val="21"/>
                <w:szCs w:val="21"/>
              </w:rPr>
            </w:pPr>
            <w:r>
              <w:rPr>
                <w:rFonts w:hint="eastAsia" w:ascii="宋体" w:hAnsi="宋体" w:eastAsia="宋体" w:cs="宋体"/>
                <w:sz w:val="21"/>
                <w:szCs w:val="21"/>
              </w:rPr>
              <w:t>职业学</w:t>
            </w:r>
            <w:r>
              <w:rPr>
                <w:rFonts w:hint="eastAsia" w:ascii="宋体" w:hAnsi="宋体" w:eastAsia="宋体" w:cs="宋体"/>
                <w:spacing w:val="-10"/>
                <w:sz w:val="21"/>
                <w:szCs w:val="21"/>
              </w:rPr>
              <w:t>院</w:t>
            </w:r>
          </w:p>
        </w:tc>
        <w:tc>
          <w:tcPr>
            <w:tcW w:w="848" w:type="dxa"/>
            <w:tcBorders>
              <w:top w:val="single" w:color="000000" w:sz="4" w:space="0"/>
              <w:left w:val="nil"/>
              <w:bottom w:val="single" w:color="000000" w:sz="4" w:space="0"/>
              <w:right w:val="single" w:color="000000" w:sz="4" w:space="0"/>
            </w:tcBorders>
          </w:tcPr>
          <w:p>
            <w:pPr>
              <w:pStyle w:val="17"/>
              <w:spacing w:before="7"/>
              <w:jc w:val="left"/>
              <w:rPr>
                <w:rFonts w:hint="eastAsia" w:ascii="宋体" w:hAnsi="宋体" w:eastAsia="宋体" w:cs="宋体"/>
                <w:sz w:val="21"/>
                <w:szCs w:val="21"/>
              </w:rPr>
            </w:pPr>
          </w:p>
          <w:p>
            <w:pPr>
              <w:pStyle w:val="17"/>
              <w:ind w:left="28" w:right="20"/>
              <w:rPr>
                <w:rFonts w:hint="eastAsia" w:ascii="宋体" w:hAnsi="宋体" w:eastAsia="宋体" w:cs="宋体"/>
                <w:sz w:val="21"/>
                <w:szCs w:val="21"/>
              </w:rPr>
            </w:pPr>
            <w:r>
              <w:rPr>
                <w:rFonts w:hint="eastAsia" w:ascii="宋体" w:hAnsi="宋体" w:eastAsia="宋体" w:cs="宋体"/>
                <w:spacing w:val="-4"/>
                <w:sz w:val="21"/>
                <w:szCs w:val="21"/>
              </w:rPr>
              <w:t>761</w:t>
            </w:r>
          </w:p>
        </w:tc>
        <w:tc>
          <w:tcPr>
            <w:tcW w:w="848" w:type="dxa"/>
            <w:tcBorders>
              <w:top w:val="single" w:color="000000" w:sz="4" w:space="0"/>
              <w:left w:val="nil"/>
              <w:bottom w:val="single" w:color="000000" w:sz="4" w:space="0"/>
              <w:right w:val="single" w:color="000000" w:sz="4" w:space="0"/>
            </w:tcBorders>
          </w:tcPr>
          <w:p>
            <w:pPr>
              <w:pStyle w:val="17"/>
              <w:spacing w:before="7"/>
              <w:jc w:val="left"/>
              <w:rPr>
                <w:rFonts w:hint="eastAsia" w:ascii="宋体" w:hAnsi="宋体" w:eastAsia="宋体" w:cs="宋体"/>
                <w:sz w:val="21"/>
                <w:szCs w:val="21"/>
              </w:rPr>
            </w:pPr>
          </w:p>
          <w:p>
            <w:pPr>
              <w:pStyle w:val="17"/>
              <w:ind w:left="27" w:right="20"/>
              <w:rPr>
                <w:rFonts w:hint="eastAsia" w:ascii="宋体" w:hAnsi="宋体" w:eastAsia="宋体" w:cs="宋体"/>
                <w:sz w:val="21"/>
                <w:szCs w:val="21"/>
              </w:rPr>
            </w:pPr>
            <w:r>
              <w:rPr>
                <w:rFonts w:hint="eastAsia" w:ascii="宋体" w:hAnsi="宋体" w:eastAsia="宋体" w:cs="宋体"/>
                <w:spacing w:val="-4"/>
                <w:sz w:val="21"/>
                <w:szCs w:val="21"/>
              </w:rPr>
              <w:t>129</w:t>
            </w:r>
          </w:p>
        </w:tc>
        <w:tc>
          <w:tcPr>
            <w:tcW w:w="848" w:type="dxa"/>
            <w:tcBorders>
              <w:top w:val="single" w:color="000000" w:sz="4" w:space="0"/>
              <w:left w:val="nil"/>
              <w:bottom w:val="single" w:color="000000" w:sz="4" w:space="0"/>
              <w:right w:val="single" w:color="000000" w:sz="4" w:space="0"/>
            </w:tcBorders>
          </w:tcPr>
          <w:p>
            <w:pPr>
              <w:pStyle w:val="17"/>
              <w:spacing w:before="7"/>
              <w:jc w:val="left"/>
              <w:rPr>
                <w:rFonts w:hint="eastAsia" w:ascii="宋体" w:hAnsi="宋体" w:eastAsia="宋体" w:cs="宋体"/>
                <w:sz w:val="21"/>
                <w:szCs w:val="21"/>
              </w:rPr>
            </w:pPr>
          </w:p>
          <w:p>
            <w:pPr>
              <w:pStyle w:val="17"/>
              <w:ind w:left="7"/>
              <w:rPr>
                <w:rFonts w:hint="eastAsia" w:ascii="宋体" w:hAnsi="宋体" w:eastAsia="宋体" w:cs="宋体"/>
                <w:sz w:val="21"/>
                <w:szCs w:val="21"/>
              </w:rPr>
            </w:pPr>
            <w:r>
              <w:rPr>
                <w:rFonts w:hint="eastAsia" w:ascii="宋体" w:hAnsi="宋体" w:eastAsia="宋体" w:cs="宋体"/>
                <w:sz w:val="21"/>
                <w:szCs w:val="21"/>
              </w:rPr>
              <w:t>0</w:t>
            </w:r>
          </w:p>
        </w:tc>
        <w:tc>
          <w:tcPr>
            <w:tcW w:w="848" w:type="dxa"/>
            <w:tcBorders>
              <w:top w:val="single" w:color="000000" w:sz="4" w:space="0"/>
              <w:left w:val="nil"/>
              <w:bottom w:val="single" w:color="000000" w:sz="4" w:space="0"/>
              <w:right w:val="single" w:color="000000" w:sz="4" w:space="0"/>
            </w:tcBorders>
          </w:tcPr>
          <w:p>
            <w:pPr>
              <w:pStyle w:val="17"/>
              <w:spacing w:before="7"/>
              <w:jc w:val="left"/>
              <w:rPr>
                <w:rFonts w:hint="eastAsia" w:ascii="宋体" w:hAnsi="宋体" w:eastAsia="宋体" w:cs="宋体"/>
                <w:sz w:val="21"/>
                <w:szCs w:val="21"/>
              </w:rPr>
            </w:pPr>
          </w:p>
          <w:p>
            <w:pPr>
              <w:pStyle w:val="17"/>
              <w:ind w:left="28" w:right="20"/>
              <w:rPr>
                <w:rFonts w:hint="eastAsia" w:ascii="宋体" w:hAnsi="宋体" w:eastAsia="宋体" w:cs="宋体"/>
                <w:sz w:val="21"/>
                <w:szCs w:val="21"/>
              </w:rPr>
            </w:pPr>
            <w:r>
              <w:rPr>
                <w:rFonts w:hint="eastAsia" w:ascii="宋体" w:hAnsi="宋体" w:eastAsia="宋体" w:cs="宋体"/>
                <w:spacing w:val="-4"/>
                <w:sz w:val="21"/>
                <w:szCs w:val="21"/>
              </w:rPr>
              <w:t>1063</w:t>
            </w:r>
          </w:p>
        </w:tc>
        <w:tc>
          <w:tcPr>
            <w:tcW w:w="766" w:type="dxa"/>
            <w:tcBorders>
              <w:top w:val="single" w:color="000000" w:sz="4" w:space="0"/>
              <w:left w:val="nil"/>
              <w:bottom w:val="single" w:color="000000" w:sz="4" w:space="0"/>
              <w:right w:val="single" w:color="000000" w:sz="4" w:space="0"/>
            </w:tcBorders>
          </w:tcPr>
          <w:p>
            <w:pPr>
              <w:pStyle w:val="17"/>
              <w:spacing w:before="7"/>
              <w:jc w:val="left"/>
              <w:rPr>
                <w:rFonts w:hint="eastAsia" w:ascii="宋体" w:hAnsi="宋体" w:eastAsia="宋体" w:cs="宋体"/>
                <w:sz w:val="21"/>
                <w:szCs w:val="21"/>
              </w:rPr>
            </w:pPr>
          </w:p>
          <w:p>
            <w:pPr>
              <w:pStyle w:val="17"/>
              <w:ind w:left="29" w:right="20"/>
              <w:rPr>
                <w:rFonts w:hint="eastAsia" w:ascii="宋体" w:hAnsi="宋体" w:eastAsia="宋体" w:cs="宋体"/>
                <w:sz w:val="21"/>
                <w:szCs w:val="21"/>
              </w:rPr>
            </w:pPr>
            <w:r>
              <w:rPr>
                <w:rFonts w:hint="eastAsia" w:ascii="宋体" w:hAnsi="宋体" w:eastAsia="宋体" w:cs="宋体"/>
                <w:spacing w:val="-5"/>
                <w:sz w:val="21"/>
                <w:szCs w:val="21"/>
              </w:rPr>
              <w:t>575</w:t>
            </w:r>
          </w:p>
        </w:tc>
        <w:tc>
          <w:tcPr>
            <w:tcW w:w="956" w:type="dxa"/>
            <w:tcBorders>
              <w:top w:val="single" w:color="000000" w:sz="4" w:space="0"/>
              <w:left w:val="nil"/>
              <w:bottom w:val="single" w:color="000000" w:sz="4" w:space="0"/>
              <w:right w:val="single" w:color="000000" w:sz="4" w:space="0"/>
            </w:tcBorders>
          </w:tcPr>
          <w:p>
            <w:pPr>
              <w:pStyle w:val="17"/>
              <w:spacing w:before="7"/>
              <w:jc w:val="left"/>
              <w:rPr>
                <w:rFonts w:hint="eastAsia" w:ascii="宋体" w:hAnsi="宋体" w:eastAsia="宋体" w:cs="宋体"/>
                <w:sz w:val="21"/>
                <w:szCs w:val="21"/>
              </w:rPr>
            </w:pPr>
          </w:p>
          <w:p>
            <w:pPr>
              <w:pStyle w:val="17"/>
              <w:ind w:left="274"/>
              <w:jc w:val="left"/>
              <w:rPr>
                <w:rFonts w:hint="eastAsia" w:ascii="宋体" w:hAnsi="宋体" w:eastAsia="宋体" w:cs="宋体"/>
                <w:sz w:val="21"/>
                <w:szCs w:val="21"/>
              </w:rPr>
            </w:pPr>
            <w:r>
              <w:rPr>
                <w:rFonts w:hint="eastAsia" w:ascii="宋体" w:hAnsi="宋体" w:eastAsia="宋体" w:cs="宋体"/>
                <w:spacing w:val="-5"/>
                <w:sz w:val="21"/>
                <w:szCs w:val="21"/>
              </w:rPr>
              <w:t>352</w:t>
            </w:r>
          </w:p>
        </w:tc>
        <w:tc>
          <w:tcPr>
            <w:tcW w:w="596" w:type="dxa"/>
            <w:tcBorders>
              <w:top w:val="single" w:color="000000" w:sz="4" w:space="0"/>
              <w:left w:val="nil"/>
              <w:bottom w:val="single" w:color="000000" w:sz="4" w:space="0"/>
              <w:right w:val="single" w:color="000000" w:sz="4" w:space="0"/>
            </w:tcBorders>
          </w:tcPr>
          <w:p>
            <w:pPr>
              <w:pStyle w:val="17"/>
              <w:spacing w:before="7"/>
              <w:jc w:val="left"/>
              <w:rPr>
                <w:rFonts w:hint="eastAsia" w:ascii="宋体" w:hAnsi="宋体" w:eastAsia="宋体" w:cs="宋体"/>
                <w:sz w:val="21"/>
                <w:szCs w:val="21"/>
              </w:rPr>
            </w:pPr>
          </w:p>
          <w:p>
            <w:pPr>
              <w:pStyle w:val="17"/>
              <w:ind w:left="109"/>
              <w:jc w:val="left"/>
              <w:rPr>
                <w:rFonts w:hint="eastAsia" w:ascii="宋体" w:hAnsi="宋体" w:eastAsia="宋体" w:cs="宋体"/>
                <w:sz w:val="21"/>
                <w:szCs w:val="21"/>
              </w:rPr>
            </w:pPr>
            <w:r>
              <w:rPr>
                <w:rFonts w:hint="eastAsia" w:ascii="宋体" w:hAnsi="宋体" w:eastAsia="宋体" w:cs="宋体"/>
                <w:spacing w:val="-4"/>
                <w:sz w:val="21"/>
                <w:szCs w:val="21"/>
              </w:rPr>
              <w:t>1835</w:t>
            </w:r>
          </w:p>
        </w:tc>
        <w:tc>
          <w:tcPr>
            <w:tcW w:w="621" w:type="dxa"/>
            <w:tcBorders>
              <w:top w:val="single" w:color="000000" w:sz="4" w:space="0"/>
              <w:left w:val="nil"/>
              <w:bottom w:val="single" w:color="000000" w:sz="4" w:space="0"/>
              <w:right w:val="single" w:color="000000" w:sz="4" w:space="0"/>
            </w:tcBorders>
          </w:tcPr>
          <w:p>
            <w:pPr>
              <w:pStyle w:val="17"/>
              <w:spacing w:before="7"/>
              <w:jc w:val="left"/>
              <w:rPr>
                <w:rFonts w:hint="eastAsia" w:ascii="宋体" w:hAnsi="宋体" w:eastAsia="宋体" w:cs="宋体"/>
                <w:sz w:val="21"/>
                <w:szCs w:val="21"/>
              </w:rPr>
            </w:pPr>
          </w:p>
          <w:p>
            <w:pPr>
              <w:pStyle w:val="17"/>
              <w:ind w:left="160"/>
              <w:jc w:val="left"/>
              <w:rPr>
                <w:rFonts w:hint="eastAsia" w:ascii="宋体" w:hAnsi="宋体" w:eastAsia="宋体" w:cs="宋体"/>
                <w:sz w:val="21"/>
                <w:szCs w:val="21"/>
              </w:rPr>
            </w:pPr>
            <w:r>
              <w:rPr>
                <w:rFonts w:hint="eastAsia" w:ascii="宋体" w:hAnsi="宋体" w:eastAsia="宋体" w:cs="宋体"/>
                <w:spacing w:val="-5"/>
                <w:sz w:val="21"/>
                <w:szCs w:val="21"/>
              </w:rPr>
              <w:t>155</w:t>
            </w:r>
          </w:p>
        </w:tc>
        <w:tc>
          <w:tcPr>
            <w:tcW w:w="727" w:type="dxa"/>
            <w:tcBorders>
              <w:top w:val="single" w:color="000000" w:sz="4" w:space="0"/>
              <w:left w:val="nil"/>
              <w:bottom w:val="single" w:color="000000" w:sz="4" w:space="0"/>
              <w:right w:val="single" w:color="000000" w:sz="4" w:space="0"/>
            </w:tcBorders>
          </w:tcPr>
          <w:p>
            <w:pPr>
              <w:pStyle w:val="17"/>
              <w:spacing w:before="7"/>
              <w:jc w:val="left"/>
              <w:rPr>
                <w:rFonts w:hint="eastAsia" w:ascii="宋体" w:hAnsi="宋体" w:eastAsia="宋体" w:cs="宋体"/>
                <w:sz w:val="21"/>
                <w:szCs w:val="21"/>
              </w:rPr>
            </w:pPr>
          </w:p>
          <w:p>
            <w:pPr>
              <w:pStyle w:val="17"/>
              <w:ind w:left="63" w:right="53"/>
              <w:rPr>
                <w:rFonts w:hint="eastAsia" w:ascii="宋体" w:hAnsi="宋体" w:eastAsia="宋体" w:cs="宋体"/>
                <w:sz w:val="21"/>
                <w:szCs w:val="21"/>
              </w:rPr>
            </w:pPr>
            <w:r>
              <w:rPr>
                <w:rFonts w:hint="eastAsia" w:ascii="宋体" w:hAnsi="宋体" w:eastAsia="宋体" w:cs="宋体"/>
                <w:spacing w:val="-4"/>
                <w:sz w:val="21"/>
                <w:szCs w:val="21"/>
              </w:rPr>
              <w:t>1858</w:t>
            </w:r>
          </w:p>
        </w:tc>
        <w:tc>
          <w:tcPr>
            <w:tcW w:w="802" w:type="dxa"/>
            <w:tcBorders>
              <w:top w:val="single" w:color="000000" w:sz="4" w:space="0"/>
              <w:left w:val="nil"/>
              <w:bottom w:val="single" w:color="000000" w:sz="4" w:space="0"/>
              <w:right w:val="single" w:color="000000" w:sz="4" w:space="0"/>
            </w:tcBorders>
          </w:tcPr>
          <w:p>
            <w:pPr>
              <w:pStyle w:val="17"/>
              <w:spacing w:before="7"/>
              <w:jc w:val="left"/>
              <w:rPr>
                <w:rFonts w:hint="eastAsia" w:ascii="宋体" w:hAnsi="宋体" w:eastAsia="宋体" w:cs="宋体"/>
                <w:sz w:val="21"/>
                <w:szCs w:val="21"/>
              </w:rPr>
            </w:pPr>
          </w:p>
          <w:p>
            <w:pPr>
              <w:pStyle w:val="17"/>
              <w:ind w:left="199"/>
              <w:jc w:val="left"/>
              <w:rPr>
                <w:rFonts w:hint="eastAsia" w:ascii="宋体" w:hAnsi="宋体" w:eastAsia="宋体" w:cs="宋体"/>
                <w:sz w:val="21"/>
                <w:szCs w:val="21"/>
              </w:rPr>
            </w:pPr>
            <w:r>
              <w:rPr>
                <w:rFonts w:hint="eastAsia" w:ascii="宋体" w:hAnsi="宋体" w:eastAsia="宋体" w:cs="宋体"/>
                <w:spacing w:val="-4"/>
                <w:sz w:val="21"/>
                <w:szCs w:val="21"/>
              </w:rPr>
              <w:t>32</w:t>
            </w:r>
          </w:p>
        </w:tc>
        <w:tc>
          <w:tcPr>
            <w:tcW w:w="910" w:type="dxa"/>
            <w:tcBorders>
              <w:top w:val="single" w:color="000000" w:sz="4" w:space="0"/>
              <w:left w:val="nil"/>
              <w:bottom w:val="single" w:color="000000" w:sz="4" w:space="0"/>
              <w:right w:val="single" w:color="000000" w:sz="4" w:space="0"/>
            </w:tcBorders>
          </w:tcPr>
          <w:p>
            <w:pPr>
              <w:pStyle w:val="17"/>
              <w:spacing w:before="7"/>
              <w:jc w:val="left"/>
              <w:rPr>
                <w:rFonts w:hint="eastAsia" w:ascii="宋体" w:hAnsi="宋体" w:eastAsia="宋体" w:cs="宋体"/>
                <w:sz w:val="21"/>
                <w:szCs w:val="21"/>
              </w:rPr>
            </w:pPr>
          </w:p>
          <w:p>
            <w:pPr>
              <w:pStyle w:val="17"/>
              <w:ind w:left="59" w:right="50"/>
              <w:rPr>
                <w:rFonts w:hint="eastAsia" w:ascii="宋体" w:hAnsi="宋体" w:eastAsia="宋体" w:cs="宋体"/>
                <w:sz w:val="21"/>
                <w:szCs w:val="21"/>
              </w:rPr>
            </w:pPr>
            <w:r>
              <w:rPr>
                <w:rFonts w:hint="eastAsia" w:ascii="宋体" w:hAnsi="宋体" w:eastAsia="宋体" w:cs="宋体"/>
                <w:spacing w:val="-4"/>
                <w:sz w:val="21"/>
                <w:szCs w:val="21"/>
              </w:rPr>
              <w:t>1990</w:t>
            </w:r>
          </w:p>
        </w:tc>
      </w:tr>
    </w:tbl>
    <w:p>
      <w:pPr>
        <w:jc w:val="center"/>
        <w:rPr>
          <w:rFonts w:hint="eastAsia" w:ascii="宋体" w:hAnsi="宋体" w:eastAsia="宋体" w:cs="宋体"/>
          <w:b/>
          <w:bCs/>
          <w:sz w:val="24"/>
          <w:szCs w:val="24"/>
        </w:rPr>
      </w:pPr>
      <w:r>
        <w:rPr>
          <w:rFonts w:hint="eastAsia" w:ascii="宋体" w:hAnsi="宋体" w:eastAsia="宋体" w:cs="宋体"/>
          <w:b/>
          <w:sz w:val="28"/>
          <w:szCs w:val="28"/>
          <w:lang w:eastAsia="zh-CN"/>
        </w:rPr>
        <w:tab/>
      </w:r>
      <w:r>
        <w:rPr>
          <w:rFonts w:hint="eastAsia" w:ascii="宋体" w:hAnsi="宋体" w:eastAsia="宋体" w:cs="宋体"/>
          <w:b/>
          <w:bCs/>
          <w:sz w:val="24"/>
          <w:szCs w:val="24"/>
        </w:rPr>
        <w:t>（数</w:t>
      </w:r>
      <w:r>
        <w:rPr>
          <w:rFonts w:hint="eastAsia" w:ascii="宋体" w:hAnsi="宋体" w:eastAsia="宋体" w:cs="宋体"/>
          <w:b/>
          <w:bCs/>
          <w:sz w:val="24"/>
          <w:szCs w:val="24"/>
          <w:lang w:eastAsia="zh-CN"/>
        </w:rPr>
        <w:t>据</w:t>
      </w:r>
      <w:r>
        <w:rPr>
          <w:rFonts w:hint="eastAsia" w:ascii="宋体" w:hAnsi="宋体" w:eastAsia="宋体" w:cs="宋体"/>
          <w:b/>
          <w:bCs/>
          <w:sz w:val="24"/>
          <w:szCs w:val="24"/>
        </w:rPr>
        <w:t>来源：培训中心）</w:t>
      </w:r>
    </w:p>
    <w:p>
      <w:pPr>
        <w:tabs>
          <w:tab w:val="left" w:pos="499"/>
        </w:tabs>
        <w:spacing w:line="360" w:lineRule="auto"/>
        <w:ind w:firstLine="562" w:firstLineChars="200"/>
        <w:outlineLvl w:val="1"/>
        <w:rPr>
          <w:rFonts w:hint="eastAsia" w:ascii="宋体" w:hAnsi="宋体" w:eastAsia="宋体" w:cs="宋体"/>
          <w:b/>
          <w:sz w:val="28"/>
          <w:szCs w:val="28"/>
        </w:rPr>
      </w:pPr>
      <w:bookmarkStart w:id="26" w:name="_Toc14040"/>
      <w:r>
        <w:rPr>
          <w:rFonts w:hint="eastAsia" w:ascii="宋体" w:hAnsi="宋体" w:eastAsia="宋体" w:cs="宋体"/>
          <w:b/>
          <w:sz w:val="28"/>
          <w:szCs w:val="28"/>
        </w:rPr>
        <w:t>3.1.3人才培养模式与教育基本情况</w:t>
      </w:r>
      <w:bookmarkEnd w:id="26"/>
    </w:p>
    <w:p>
      <w:pPr>
        <w:spacing w:line="360" w:lineRule="auto"/>
        <w:ind w:firstLine="562" w:firstLineChars="200"/>
        <w:outlineLvl w:val="2"/>
        <w:rPr>
          <w:rFonts w:hint="eastAsia" w:ascii="宋体" w:hAnsi="宋体" w:eastAsia="宋体" w:cs="宋体"/>
          <w:b/>
          <w:sz w:val="28"/>
          <w:szCs w:val="28"/>
        </w:rPr>
      </w:pPr>
      <w:bookmarkStart w:id="27" w:name="_Toc13718"/>
      <w:r>
        <w:rPr>
          <w:rFonts w:hint="eastAsia" w:ascii="宋体" w:hAnsi="宋体" w:eastAsia="宋体" w:cs="宋体"/>
          <w:b/>
          <w:sz w:val="28"/>
          <w:szCs w:val="28"/>
        </w:rPr>
        <w:t>3.1.3.1人才培养模式</w:t>
      </w:r>
      <w:bookmarkEnd w:id="27"/>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学校坚持把立德树人作为培养人才的根本任务，把立德树人融入思想道德教育、文化知识教育、技术技能培养和社会实践教育各环节，并紧密对接各行各业市场需求，</w:t>
      </w:r>
      <w:r>
        <w:rPr>
          <w:rFonts w:hint="eastAsia" w:ascii="宋体" w:hAnsi="宋体" w:eastAsia="宋体" w:cs="宋体"/>
          <w:sz w:val="28"/>
          <w:szCs w:val="28"/>
          <w:lang w:val="en-US" w:eastAsia="zh-CN"/>
        </w:rPr>
        <w:t>培养</w:t>
      </w:r>
      <w:r>
        <w:rPr>
          <w:rFonts w:hint="eastAsia" w:ascii="宋体" w:hAnsi="宋体" w:eastAsia="宋体" w:cs="宋体"/>
          <w:sz w:val="28"/>
          <w:szCs w:val="28"/>
        </w:rPr>
        <w:t>具有良好职业素养，掌握商务管理必备知识，并具备从事商务行业管理的</w:t>
      </w:r>
      <w:r>
        <w:rPr>
          <w:rFonts w:hint="eastAsia" w:ascii="宋体" w:hAnsi="宋体" w:eastAsia="宋体" w:cs="宋体"/>
          <w:sz w:val="28"/>
          <w:szCs w:val="28"/>
          <w:lang w:val="en-US" w:eastAsia="zh-CN"/>
        </w:rPr>
        <w:t>高素质技术技能人才</w:t>
      </w:r>
      <w:r>
        <w:rPr>
          <w:rFonts w:hint="eastAsia" w:ascii="宋体" w:hAnsi="宋体" w:eastAsia="宋体" w:cs="宋体"/>
          <w:sz w:val="28"/>
          <w:szCs w:val="28"/>
        </w:rPr>
        <w:t>。</w:t>
      </w:r>
      <w:r>
        <w:rPr>
          <w:rFonts w:hint="eastAsia" w:ascii="宋体" w:hAnsi="宋体" w:eastAsia="宋体" w:cs="宋体"/>
          <w:sz w:val="28"/>
          <w:szCs w:val="28"/>
          <w:lang w:val="en-US" w:eastAsia="zh-CN"/>
        </w:rPr>
        <w:t>学校不断深化校企合作，企业深度参与人才培养方案制订，课程标准制订及教育教学环节等，逐步形成了校企共育，</w:t>
      </w:r>
      <w:r>
        <w:rPr>
          <w:rFonts w:hint="eastAsia" w:ascii="宋体" w:hAnsi="宋体" w:eastAsia="宋体" w:cs="宋体"/>
          <w:sz w:val="28"/>
          <w:szCs w:val="28"/>
        </w:rPr>
        <w:t>“外语+外交+专业+综合素质”</w:t>
      </w:r>
      <w:r>
        <w:rPr>
          <w:rFonts w:hint="eastAsia" w:ascii="宋体" w:hAnsi="宋体" w:eastAsia="宋体" w:cs="宋体"/>
          <w:sz w:val="28"/>
          <w:szCs w:val="28"/>
          <w:lang w:val="en-US" w:eastAsia="zh-CN"/>
        </w:rPr>
        <w:t>四位一体</w:t>
      </w:r>
      <w:r>
        <w:rPr>
          <w:rFonts w:hint="eastAsia" w:ascii="宋体" w:hAnsi="宋体" w:eastAsia="宋体" w:cs="宋体"/>
          <w:sz w:val="28"/>
          <w:szCs w:val="28"/>
        </w:rPr>
        <w:t>的人才培养模式。</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2"/>
        <w:rPr>
          <w:rFonts w:hint="eastAsia" w:ascii="宋体" w:hAnsi="宋体" w:eastAsia="宋体" w:cs="宋体"/>
          <w:b/>
          <w:sz w:val="28"/>
          <w:szCs w:val="28"/>
        </w:rPr>
      </w:pPr>
      <w:bookmarkStart w:id="28" w:name="_Toc12459"/>
      <w:r>
        <w:rPr>
          <w:rFonts w:hint="eastAsia" w:ascii="宋体" w:hAnsi="宋体" w:eastAsia="宋体" w:cs="宋体"/>
          <w:b/>
          <w:sz w:val="28"/>
          <w:szCs w:val="28"/>
        </w:rPr>
        <w:t>3.1.3.2教学的基本情况</w:t>
      </w:r>
      <w:bookmarkEnd w:id="28"/>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一是全面落实专业人才培养方案，</w:t>
      </w:r>
      <w:r>
        <w:rPr>
          <w:rFonts w:hint="eastAsia" w:ascii="宋体" w:hAnsi="宋体" w:eastAsia="宋体" w:cs="宋体"/>
          <w:sz w:val="28"/>
          <w:szCs w:val="28"/>
        </w:rPr>
        <w:t>我校学历继续教育教学实施是根据各专业人才培养方案及教学计划（专科）进行的，教学环节主要包括自学、面授、作业答疑辅导、考核（考试或考查）实习、毕业实践报告等。</w:t>
      </w:r>
      <w:r>
        <w:rPr>
          <w:rFonts w:hint="eastAsia" w:ascii="宋体" w:hAnsi="宋体" w:eastAsia="宋体" w:cs="宋体"/>
          <w:sz w:val="28"/>
          <w:szCs w:val="28"/>
          <w:lang w:val="en-US" w:eastAsia="zh-CN"/>
        </w:rPr>
        <w:t>二是以人为本，充分借助信息化教学手段。</w:t>
      </w:r>
      <w:r>
        <w:rPr>
          <w:rFonts w:hint="eastAsia" w:ascii="宋体" w:hAnsi="宋体" w:eastAsia="宋体" w:cs="宋体"/>
          <w:sz w:val="28"/>
          <w:szCs w:val="28"/>
        </w:rPr>
        <w:t>因考虑到成人学历继续教育是以在职及社会人员为主，其特点是有工作实践经验，有分析和解决问题的能力，专业经历较为丰富，但工学矛盾突出，另外许多学生分布在全国各地，难于集中面授，学习时间有限且零散不集中。为保证培养效果和质量，我们结合在职学员特点进行课程设置，改革成人教育教学领域的传统教学模式，采用现代化教学手段进行授课，增加了实证教学和案例教学内容，时间上、形式上灵活多变，可随时随地在手机上学习，有效的提升了学员学习专业知识的兴趣</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三是多种形式结合，强化考核。</w:t>
      </w:r>
      <w:r>
        <w:rPr>
          <w:rFonts w:hint="eastAsia" w:ascii="宋体" w:hAnsi="宋体" w:eastAsia="宋体" w:cs="宋体"/>
          <w:sz w:val="28"/>
          <w:szCs w:val="28"/>
        </w:rPr>
        <w:t>考核方式采取返校笔试和在线考试相结合，适应现代化教学。同时因 2022年疫情较为严重，而我校许多学员分布在全国各地，因此，2022年我校成人学历继续教育以线上学习、考核为主。</w:t>
      </w:r>
    </w:p>
    <w:p>
      <w:pPr>
        <w:spacing w:line="360" w:lineRule="auto"/>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2336" behindDoc="0" locked="0" layoutInCell="1" allowOverlap="1">
            <wp:simplePos x="0" y="0"/>
            <wp:positionH relativeFrom="column">
              <wp:posOffset>85090</wp:posOffset>
            </wp:positionH>
            <wp:positionV relativeFrom="paragraph">
              <wp:posOffset>62230</wp:posOffset>
            </wp:positionV>
            <wp:extent cx="5117465" cy="2457450"/>
            <wp:effectExtent l="0" t="0" r="6985"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cstate="print"/>
                    <a:stretch>
                      <a:fillRect/>
                    </a:stretch>
                  </pic:blipFill>
                  <pic:spPr>
                    <a:xfrm>
                      <a:off x="0" y="0"/>
                      <a:ext cx="5117465" cy="2457450"/>
                    </a:xfrm>
                    <a:prstGeom prst="rect">
                      <a:avLst/>
                    </a:prstGeom>
                  </pic:spPr>
                </pic:pic>
              </a:graphicData>
            </a:graphic>
          </wp:anchor>
        </w:drawing>
      </w:r>
    </w:p>
    <w:p>
      <w:pPr>
        <w:spacing w:line="360" w:lineRule="auto"/>
        <w:ind w:firstLine="560" w:firstLineChars="200"/>
        <w:rPr>
          <w:rFonts w:hint="eastAsia" w:ascii="宋体" w:hAnsi="宋体" w:eastAsia="宋体" w:cs="宋体"/>
          <w:sz w:val="28"/>
          <w:szCs w:val="28"/>
        </w:rPr>
      </w:pPr>
    </w:p>
    <w:p>
      <w:pPr>
        <w:spacing w:line="360" w:lineRule="auto"/>
        <w:ind w:firstLine="560" w:firstLineChars="200"/>
        <w:rPr>
          <w:rFonts w:hint="eastAsia" w:ascii="宋体" w:hAnsi="宋体" w:eastAsia="宋体" w:cs="宋体"/>
          <w:sz w:val="28"/>
          <w:szCs w:val="28"/>
        </w:rPr>
      </w:pPr>
    </w:p>
    <w:p>
      <w:pPr>
        <w:pStyle w:val="2"/>
        <w:rPr>
          <w:rFonts w:hint="eastAsia" w:ascii="宋体" w:hAnsi="宋体" w:eastAsia="宋体" w:cs="宋体"/>
          <w:sz w:val="28"/>
          <w:szCs w:val="28"/>
        </w:rPr>
      </w:pPr>
    </w:p>
    <w:p>
      <w:pPr>
        <w:pStyle w:val="2"/>
        <w:ind w:left="0" w:leftChars="0" w:firstLine="0" w:firstLineChars="0"/>
        <w:rPr>
          <w:rFonts w:hint="eastAsia" w:ascii="宋体" w:hAnsi="宋体" w:eastAsia="宋体" w:cs="宋体"/>
          <w:sz w:val="28"/>
          <w:szCs w:val="28"/>
        </w:rPr>
      </w:pPr>
    </w:p>
    <w:p>
      <w:pPr>
        <w:jc w:val="both"/>
        <w:rPr>
          <w:rFonts w:hint="eastAsia" w:ascii="宋体" w:hAnsi="宋体" w:eastAsia="宋体" w:cs="宋体"/>
          <w:b/>
          <w:bCs/>
          <w:szCs w:val="21"/>
        </w:rPr>
      </w:pPr>
    </w:p>
    <w:p>
      <w:pPr>
        <w:pStyle w:val="2"/>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Cs w:val="21"/>
        </w:rPr>
      </w:pPr>
      <w:r>
        <w:rPr>
          <w:rFonts w:hint="eastAsia" w:ascii="宋体" w:hAnsi="宋体" w:eastAsia="宋体" w:cs="宋体"/>
          <w:b/>
          <w:bCs/>
          <w:sz w:val="24"/>
          <w:szCs w:val="24"/>
        </w:rPr>
        <w:t>湖南外贸职业学院教学管理平台（数</w:t>
      </w:r>
      <w:r>
        <w:rPr>
          <w:rFonts w:hint="eastAsia" w:ascii="宋体" w:hAnsi="宋体" w:eastAsia="宋体" w:cs="宋体"/>
          <w:b/>
          <w:bCs/>
          <w:sz w:val="24"/>
          <w:szCs w:val="24"/>
          <w:lang w:eastAsia="zh-CN"/>
        </w:rPr>
        <w:t>据</w:t>
      </w:r>
      <w:r>
        <w:rPr>
          <w:rFonts w:hint="eastAsia" w:ascii="宋体" w:hAnsi="宋体" w:eastAsia="宋体" w:cs="宋体"/>
          <w:b/>
          <w:bCs/>
          <w:sz w:val="24"/>
          <w:szCs w:val="24"/>
        </w:rPr>
        <w:t>来源：培训中心）</w:t>
      </w:r>
    </w:p>
    <w:p>
      <w:pPr>
        <w:jc w:val="center"/>
        <w:rPr>
          <w:rFonts w:hint="eastAsia" w:ascii="宋体" w:hAnsi="宋体" w:eastAsia="宋体" w:cs="宋体"/>
          <w:b/>
          <w:bCs/>
          <w:szCs w:val="21"/>
        </w:rPr>
      </w:pPr>
      <w:r>
        <w:rPr>
          <w:rFonts w:hint="eastAsia" w:ascii="宋体" w:hAnsi="宋体" w:eastAsia="宋体" w:cs="宋体"/>
          <w:sz w:val="24"/>
          <w:szCs w:val="24"/>
        </w:rPr>
        <w:drawing>
          <wp:inline distT="0" distB="0" distL="0" distR="0">
            <wp:extent cx="5226050" cy="2514600"/>
            <wp:effectExtent l="0" t="0" r="12700" b="0"/>
            <wp:docPr id="7" name="图片 6" descr="C:\Users\ADMINI~1\AppData\Local\Temp\ksohtml957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1\AppData\Local\Temp\ksohtml9572\wps2.png"/>
                    <pic:cNvPicPr>
                      <a:picLocks noChangeAspect="1" noChangeArrowheads="1"/>
                    </pic:cNvPicPr>
                  </pic:nvPicPr>
                  <pic:blipFill>
                    <a:blip r:embed="rId10"/>
                    <a:srcRect/>
                    <a:stretch>
                      <a:fillRect/>
                    </a:stretch>
                  </pic:blipFill>
                  <pic:spPr>
                    <a:xfrm>
                      <a:off x="0" y="0"/>
                      <a:ext cx="5241887" cy="2522220"/>
                    </a:xfrm>
                    <a:prstGeom prst="rect">
                      <a:avLst/>
                    </a:prstGeom>
                    <a:noFill/>
                    <a:ln w="9525">
                      <a:noFill/>
                      <a:miter lim="800000"/>
                      <a:headEnd/>
                      <a:tailEnd/>
                    </a:ln>
                  </pic:spPr>
                </pic:pic>
              </a:graphicData>
            </a:graphic>
          </wp:inline>
        </w:drawing>
      </w:r>
      <w:r>
        <w:rPr>
          <w:rFonts w:hint="eastAsia" w:ascii="宋体" w:hAnsi="宋体" w:eastAsia="宋体" w:cs="宋体"/>
          <w:sz w:val="24"/>
          <w:szCs w:val="24"/>
        </w:rPr>
        <w:br w:type="textWrapping"/>
      </w:r>
      <w:r>
        <w:rPr>
          <w:rFonts w:hint="eastAsia" w:ascii="宋体" w:hAnsi="宋体" w:eastAsia="宋体" w:cs="宋体"/>
          <w:b/>
          <w:bCs/>
          <w:szCs w:val="21"/>
        </w:rPr>
        <w:t>考生全程戴口罩参加</w:t>
      </w:r>
      <w:r>
        <w:rPr>
          <w:rFonts w:hint="eastAsia" w:ascii="宋体" w:hAnsi="宋体" w:eastAsia="宋体" w:cs="宋体"/>
          <w:b/>
          <w:bCs/>
          <w:spacing w:val="-5"/>
          <w:szCs w:val="21"/>
        </w:rPr>
        <w:t>考试</w:t>
      </w:r>
      <w:r>
        <w:rPr>
          <w:rFonts w:hint="eastAsia" w:ascii="宋体" w:hAnsi="宋体" w:eastAsia="宋体" w:cs="宋体"/>
          <w:b/>
          <w:bCs/>
          <w:szCs w:val="21"/>
        </w:rPr>
        <w:t>（数</w:t>
      </w:r>
      <w:r>
        <w:rPr>
          <w:rFonts w:hint="eastAsia" w:ascii="宋体" w:hAnsi="宋体" w:eastAsia="宋体" w:cs="宋体"/>
          <w:b/>
          <w:bCs/>
          <w:szCs w:val="21"/>
          <w:lang w:eastAsia="zh-CN"/>
        </w:rPr>
        <w:t>据</w:t>
      </w:r>
      <w:r>
        <w:rPr>
          <w:rFonts w:hint="eastAsia" w:ascii="宋体" w:hAnsi="宋体" w:eastAsia="宋体" w:cs="宋体"/>
          <w:b/>
          <w:bCs/>
          <w:szCs w:val="21"/>
        </w:rPr>
        <w:t>来源：培训中心）</w:t>
      </w:r>
    </w:p>
    <w:p>
      <w:pPr>
        <w:ind w:firstLine="562" w:firstLineChars="200"/>
        <w:outlineLvl w:val="1"/>
        <w:rPr>
          <w:rFonts w:hint="eastAsia" w:ascii="宋体" w:hAnsi="宋体" w:eastAsia="宋体" w:cs="宋体"/>
          <w:b/>
          <w:sz w:val="28"/>
          <w:szCs w:val="28"/>
        </w:rPr>
      </w:pPr>
      <w:bookmarkStart w:id="29" w:name="_Toc16558"/>
      <w:r>
        <w:rPr>
          <w:rFonts w:hint="eastAsia" w:ascii="宋体" w:hAnsi="宋体" w:eastAsia="宋体" w:cs="宋体"/>
          <w:b/>
          <w:sz w:val="28"/>
          <w:szCs w:val="28"/>
        </w:rPr>
        <w:t>3.2非学历继续教育情况</w:t>
      </w:r>
      <w:bookmarkEnd w:id="29"/>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400" w:lineRule="exact"/>
        <w:ind w:left="0" w:leftChars="0" w:right="0" w:firstLine="562" w:firstLineChars="200"/>
        <w:jc w:val="both"/>
        <w:textAlignment w:val="auto"/>
        <w:outlineLvl w:val="2"/>
        <w:rPr>
          <w:rFonts w:hint="eastAsia" w:ascii="宋体" w:hAnsi="宋体" w:eastAsia="宋体" w:cs="宋体"/>
          <w:b w:val="0"/>
          <w:bCs w:val="0"/>
          <w:color w:val="000000"/>
          <w:kern w:val="2"/>
          <w:sz w:val="24"/>
          <w:szCs w:val="24"/>
          <w:lang w:val="en-US" w:eastAsia="zh-CN" w:bidi="ar-SA"/>
        </w:rPr>
      </w:pPr>
      <w:bookmarkStart w:id="30" w:name="_Toc5973"/>
      <w:r>
        <w:rPr>
          <w:rFonts w:hint="eastAsia" w:ascii="宋体" w:hAnsi="宋体" w:eastAsia="宋体" w:cs="宋体"/>
          <w:b/>
          <w:sz w:val="28"/>
          <w:szCs w:val="28"/>
        </w:rPr>
        <w:t>3.2.1总体规模</w:t>
      </w:r>
      <w:bookmarkEnd w:id="30"/>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贯彻落实习近平总书记关于教师工作的系列重要指示精神，全面加强职业院校“双师型”教师队伍建设，切实提升职业院校教师素质能力。2022年我校胡晓青、贺鑫等三位老师组织开展了三期省培、国培项目培训班，为130名</w:t>
      </w:r>
      <w:r>
        <w:rPr>
          <w:rFonts w:hint="eastAsia" w:ascii="宋体" w:hAnsi="宋体" w:eastAsia="宋体" w:cs="宋体"/>
          <w:sz w:val="28"/>
          <w:szCs w:val="28"/>
          <w:lang w:val="en-US" w:eastAsia="zh-Hans"/>
        </w:rPr>
        <w:t>湖南省</w:t>
      </w:r>
      <w:r>
        <w:rPr>
          <w:rFonts w:hint="eastAsia" w:ascii="宋体" w:hAnsi="宋体" w:eastAsia="宋体" w:cs="宋体"/>
          <w:sz w:val="28"/>
          <w:szCs w:val="28"/>
          <w:lang w:val="en-US" w:eastAsia="zh-CN"/>
        </w:rPr>
        <w:t>内</w:t>
      </w:r>
      <w:r>
        <w:rPr>
          <w:rFonts w:hint="eastAsia" w:ascii="宋体" w:hAnsi="宋体" w:eastAsia="宋体" w:cs="宋体"/>
          <w:sz w:val="28"/>
          <w:szCs w:val="28"/>
          <w:lang w:val="en-US" w:eastAsia="zh-Hans"/>
        </w:rPr>
        <w:t>职业院校</w:t>
      </w:r>
      <w:r>
        <w:rPr>
          <w:rFonts w:hint="eastAsia" w:ascii="宋体" w:hAnsi="宋体" w:eastAsia="宋体" w:cs="宋体"/>
          <w:sz w:val="28"/>
          <w:szCs w:val="28"/>
          <w:lang w:val="en-US" w:eastAsia="zh-CN"/>
        </w:rPr>
        <w:t>教师提供了</w:t>
      </w:r>
      <w:r>
        <w:rPr>
          <w:rFonts w:hint="eastAsia" w:ascii="宋体" w:hAnsi="宋体" w:eastAsia="宋体" w:cs="宋体"/>
          <w:sz w:val="28"/>
          <w:szCs w:val="28"/>
          <w:lang w:val="en-US" w:eastAsia="zh-Hans"/>
        </w:rPr>
        <w:t>课程实施能力提升</w:t>
      </w:r>
      <w:r>
        <w:rPr>
          <w:rFonts w:hint="eastAsia" w:ascii="宋体" w:hAnsi="宋体" w:eastAsia="宋体" w:cs="宋体"/>
          <w:sz w:val="28"/>
          <w:szCs w:val="28"/>
          <w:lang w:val="en-US" w:eastAsia="zh-CN"/>
        </w:rPr>
        <w:t>研修培训。2022年，我校有幸再次成为湖南省“送培到校、精准培训”项目的送培基地之一。为邵阳创业科技学校、邵阳工业学校共87名老师开展了为期十天的课程思政教学设计的方法与路径、人才培养方案编制（修订）的框架和要素等方面的培训。</w:t>
      </w:r>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秉持双向、多元和融合的理念，以商务部援外培训项目、技术合作项目等为抓手，通过参与“一带一路”建设，加强对非合作</w:t>
      </w:r>
      <w:r>
        <w:rPr>
          <w:rFonts w:hint="eastAsia" w:ascii="宋体" w:hAnsi="宋体" w:eastAsia="宋体" w:cs="宋体"/>
          <w:sz w:val="28"/>
          <w:szCs w:val="28"/>
          <w:lang w:eastAsia="zh-CN"/>
        </w:rPr>
        <w:t>。</w:t>
      </w:r>
      <w:r>
        <w:rPr>
          <w:rFonts w:hint="eastAsia" w:ascii="宋体" w:hAnsi="宋体" w:eastAsia="宋体" w:cs="宋体"/>
          <w:sz w:val="28"/>
          <w:szCs w:val="28"/>
        </w:rPr>
        <w:t>2022年实施32期线上援外培训项目，涉及的主题包括工程机械、新能源、商贸、轻工工艺等多个领域，共为各发展中国家培训各级各类官员与技术人员733</w:t>
      </w:r>
      <w:r>
        <w:rPr>
          <w:rFonts w:hint="eastAsia" w:ascii="宋体" w:hAnsi="宋体" w:eastAsia="宋体" w:cs="宋体"/>
          <w:sz w:val="28"/>
          <w:szCs w:val="28"/>
          <w:lang w:val="en-US" w:eastAsia="zh-CN"/>
        </w:rPr>
        <w:t>人。</w:t>
      </w:r>
    </w:p>
    <w:p>
      <w:pPr>
        <w:pStyle w:val="2"/>
        <w:ind w:left="0" w:leftChars="0" w:firstLine="0" w:firstLineChars="0"/>
        <w:rPr>
          <w:rFonts w:hint="eastAsia" w:ascii="宋体" w:hAnsi="宋体" w:eastAsia="宋体" w:cs="宋体"/>
        </w:rPr>
      </w:pPr>
      <w:r>
        <w:rPr>
          <w:rFonts w:hint="eastAsia" w:ascii="宋体" w:hAnsi="宋体" w:eastAsia="宋体" w:cs="宋体"/>
        </w:rPr>
        <w:drawing>
          <wp:inline distT="0" distB="0" distL="114300" distR="114300">
            <wp:extent cx="5286375" cy="2643505"/>
            <wp:effectExtent l="0" t="0" r="9525" b="44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286375" cy="2643505"/>
                    </a:xfrm>
                    <a:prstGeom prst="rect">
                      <a:avLst/>
                    </a:prstGeom>
                    <a:noFill/>
                    <a:ln>
                      <a:noFill/>
                    </a:ln>
                  </pic:spPr>
                </pic:pic>
              </a:graphicData>
            </a:graphic>
          </wp:inline>
        </w:drawing>
      </w:r>
    </w:p>
    <w:p>
      <w:pPr>
        <w:spacing w:line="360" w:lineRule="auto"/>
        <w:ind w:firstLine="562" w:firstLineChars="200"/>
        <w:outlineLvl w:val="2"/>
        <w:rPr>
          <w:rFonts w:hint="eastAsia" w:ascii="宋体" w:hAnsi="宋体" w:eastAsia="宋体" w:cs="宋体"/>
          <w:b/>
          <w:sz w:val="28"/>
          <w:szCs w:val="28"/>
          <w:lang w:val="en-US" w:eastAsia="zh-CN"/>
        </w:rPr>
      </w:pPr>
      <w:bookmarkStart w:id="31" w:name="_Toc8191"/>
      <w:r>
        <w:rPr>
          <w:rFonts w:hint="eastAsia" w:ascii="宋体" w:hAnsi="宋体" w:eastAsia="宋体" w:cs="宋体"/>
          <w:b/>
          <w:sz w:val="28"/>
          <w:szCs w:val="28"/>
        </w:rPr>
        <w:t>3.2.2培训</w:t>
      </w:r>
      <w:r>
        <w:rPr>
          <w:rFonts w:hint="eastAsia" w:ascii="宋体" w:hAnsi="宋体" w:eastAsia="宋体" w:cs="宋体"/>
          <w:b/>
          <w:sz w:val="28"/>
          <w:szCs w:val="28"/>
          <w:lang w:val="en-US" w:eastAsia="zh-CN"/>
        </w:rPr>
        <w:t>模式</w:t>
      </w:r>
      <w:bookmarkEnd w:id="31"/>
    </w:p>
    <w:p>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了保障培训工作顺利开展，各个培训组织老师都制定了详实的培训实施方案及培训内容的制订、培训项目综合协调管理及过程监督；培训项目教学管理、师资安排、学员管理、教学场地、后勤保障等项目实施工作。在培训过程中，用我们的专业指导学员线上报名、线上学习、线下授课相结合，用我们的热情安排好专家和学员的日程、交通、食宿，经过不懈努力，</w:t>
      </w:r>
      <w:r>
        <w:rPr>
          <w:rFonts w:hint="eastAsia" w:ascii="宋体" w:hAnsi="宋体" w:eastAsia="宋体" w:cs="宋体"/>
          <w:sz w:val="28"/>
          <w:szCs w:val="28"/>
          <w:lang w:eastAsia="zh-Hans"/>
        </w:rPr>
        <w:t>我校较好地完成了202</w:t>
      </w:r>
      <w:r>
        <w:rPr>
          <w:rFonts w:hint="eastAsia" w:ascii="宋体" w:hAnsi="宋体" w:eastAsia="宋体" w:cs="宋体"/>
          <w:sz w:val="28"/>
          <w:szCs w:val="28"/>
          <w:lang w:val="en-US" w:eastAsia="zh-CN"/>
        </w:rPr>
        <w:t>2</w:t>
      </w:r>
      <w:r>
        <w:rPr>
          <w:rFonts w:hint="eastAsia" w:ascii="宋体" w:hAnsi="宋体" w:eastAsia="宋体" w:cs="宋体"/>
          <w:sz w:val="28"/>
          <w:szCs w:val="28"/>
          <w:lang w:eastAsia="zh-Hans"/>
        </w:rPr>
        <w:t>年“国培计划”培训任务</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到了学员的一致好评。</w:t>
      </w:r>
    </w:p>
    <w:p>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2022年，学校共完成32期援外培训线上项目，其中研修班21个、技术培训班10个、高级专家顾问项目1个，共为各发展中国家培训各级各类官员、技术人员695人，培训天数共计717天。项目内容涉及商贸、环保、医疗卫生、工程机械等多个领域，项目语言包括英语、俄语、葡萄牙语、西班牙语、阿拉伯语。学校在喀麦隆当地与JULYPRIDE珠宝首饰公司合作设立了培训点，共培训手工艺人员38名。</w:t>
      </w:r>
    </w:p>
    <w:tbl>
      <w:tblPr>
        <w:tblStyle w:val="12"/>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0"/>
        <w:gridCol w:w="3851"/>
        <w:gridCol w:w="1064"/>
        <w:gridCol w:w="1190"/>
        <w:gridCol w:w="1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培训项目名称</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总学时</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培训人数</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培训模式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课程实施能力提升项目</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湖南省职业院校教师素质提升管工程中职课程思政教学设计与实施</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孟加拉国地理信息系统（GIS）应用于环境影响评估研修班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孟加拉国肉禽业生物安全政策与实践研修班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2019年发展中国家清洁能源应用技术培训班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280</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加纳国家财政政策与预算管理高级研修班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南亚国家新冠疫情防控下的中医药应用和疫苗合作研修班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莫桑比克议会行政能力研修班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埃及税务管理研修班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2019年非洲国家刺绣技术培训班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塔吉克斯坦能源发展研修班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葡语国家传染病防治研修班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发展中国家商贸管理研修班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非洲英语国家抽纱钩织技术培训班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发展中国家经济领域预防及惩治腐败研修班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非洲国家首饰加工技术培训班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发展中国家制陶技术培训班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发展中国家民营企业管理与发展研修班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发展中国家服务外包发展与管理研修班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发展中国家“两型”社会建设官员研修班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古巴可持续发展建筑材料和技术海外研修班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发展中国家工程机械运用与维护技术培训班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巴基斯坦测绘技术进阶研修班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非洲国家“绿色使者”研修班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3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阿拉伯语国家投资政策管理研修班</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线上</w:t>
            </w:r>
          </w:p>
        </w:tc>
      </w:tr>
    </w:tbl>
    <w:tbl>
      <w:tblPr>
        <w:tblStyle w:val="12"/>
        <w:tblpPr w:leftFromText="180" w:rightFromText="180" w:vertAnchor="text" w:horzAnchor="page" w:tblpX="1895" w:tblpY="18"/>
        <w:tblOverlap w:val="never"/>
        <w:tblW w:w="85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0"/>
        <w:gridCol w:w="3660"/>
        <w:gridCol w:w="1080"/>
        <w:gridCol w:w="1156"/>
        <w:gridCol w:w="17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26</w:t>
            </w:r>
          </w:p>
        </w:tc>
        <w:tc>
          <w:tcPr>
            <w:tcW w:w="3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西语国家工程机械运用与维护技术培训班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27</w:t>
            </w:r>
          </w:p>
        </w:tc>
        <w:tc>
          <w:tcPr>
            <w:tcW w:w="3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吉尔吉斯斯坦经贸合作研修班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28</w:t>
            </w:r>
          </w:p>
        </w:tc>
        <w:tc>
          <w:tcPr>
            <w:tcW w:w="3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约旦手工编织技术海外培训班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29</w:t>
            </w:r>
          </w:p>
        </w:tc>
        <w:tc>
          <w:tcPr>
            <w:tcW w:w="3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安提瓜和巴布达工艺品制作海外培训班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30</w:t>
            </w:r>
          </w:p>
        </w:tc>
        <w:tc>
          <w:tcPr>
            <w:tcW w:w="3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毛里求斯公共部门强化职业安全与卫生措施研修班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31</w:t>
            </w:r>
          </w:p>
        </w:tc>
        <w:tc>
          <w:tcPr>
            <w:tcW w:w="3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发展中国家辐射加工与处理技术合作研修班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32</w:t>
            </w:r>
          </w:p>
        </w:tc>
        <w:tc>
          <w:tcPr>
            <w:tcW w:w="3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埃及政府管理改革研修班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33</w:t>
            </w:r>
          </w:p>
        </w:tc>
        <w:tc>
          <w:tcPr>
            <w:tcW w:w="3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阿富汗外交外事政府官员研修班</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34</w:t>
            </w:r>
          </w:p>
        </w:tc>
        <w:tc>
          <w:tcPr>
            <w:tcW w:w="3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阿富汗政府官员行政管理培训班</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35</w:t>
            </w:r>
          </w:p>
        </w:tc>
        <w:tc>
          <w:tcPr>
            <w:tcW w:w="3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职业院校教师素质提高计划2022年国家级培训项目---“1+X”证书制度试点种子教师研修项目（中职财经商贸大类）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线下</w:t>
            </w:r>
          </w:p>
        </w:tc>
      </w:tr>
    </w:tbl>
    <w:p>
      <w:pPr>
        <w:pStyle w:val="26"/>
        <w:spacing w:line="240" w:lineRule="auto"/>
        <w:ind w:left="0" w:leftChars="0" w:firstLine="0" w:firstLineChars="0"/>
        <w:rPr>
          <w:rFonts w:hint="eastAsia" w:ascii="宋体" w:hAnsi="宋体" w:eastAsia="宋体" w:cs="宋体"/>
          <w:bCs w:val="0"/>
          <w:kern w:val="2"/>
          <w:sz w:val="28"/>
          <w:szCs w:val="28"/>
          <w:lang w:val="en-US" w:eastAsia="zh-CN" w:bidi="ar-SA"/>
        </w:rPr>
      </w:pPr>
    </w:p>
    <w:p>
      <w:pPr>
        <w:pStyle w:val="26"/>
        <w:spacing w:line="240" w:lineRule="auto"/>
        <w:ind w:left="0" w:leftChars="0" w:firstLine="0" w:firstLineChars="0"/>
        <w:jc w:val="center"/>
        <w:rPr>
          <w:rFonts w:hint="eastAsia" w:ascii="宋体" w:hAnsi="宋体" w:eastAsia="宋体" w:cs="宋体"/>
          <w:bCs w:val="0"/>
          <w:kern w:val="2"/>
          <w:sz w:val="28"/>
          <w:szCs w:val="28"/>
          <w:lang w:val="en-US" w:eastAsia="zh-CN" w:bidi="ar-SA"/>
        </w:rPr>
      </w:pPr>
      <w:r>
        <w:rPr>
          <w:rFonts w:hint="eastAsia" w:ascii="宋体" w:hAnsi="宋体" w:eastAsia="宋体" w:cs="宋体"/>
          <w:bCs w:val="0"/>
          <w:kern w:val="2"/>
          <w:sz w:val="28"/>
          <w:szCs w:val="28"/>
          <w:lang w:val="en-US" w:eastAsia="zh-CN" w:bidi="ar-SA"/>
        </w:rPr>
        <w:drawing>
          <wp:inline distT="0" distB="0" distL="114300" distR="114300">
            <wp:extent cx="5022215" cy="3598545"/>
            <wp:effectExtent l="0" t="0" r="6985" b="1905"/>
            <wp:docPr id="4" name="图片 4" descr="file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le0028"/>
                    <pic:cNvPicPr>
                      <a:picLocks noChangeAspect="1"/>
                    </pic:cNvPicPr>
                  </pic:nvPicPr>
                  <pic:blipFill>
                    <a:blip r:embed="rId12"/>
                    <a:stretch>
                      <a:fillRect/>
                    </a:stretch>
                  </pic:blipFill>
                  <pic:spPr>
                    <a:xfrm>
                      <a:off x="0" y="0"/>
                      <a:ext cx="5022215" cy="3598545"/>
                    </a:xfrm>
                    <a:prstGeom prst="rect">
                      <a:avLst/>
                    </a:prstGeom>
                  </pic:spPr>
                </pic:pic>
              </a:graphicData>
            </a:graphic>
          </wp:inline>
        </w:drawing>
      </w:r>
    </w:p>
    <w:p>
      <w:pPr>
        <w:pStyle w:val="26"/>
        <w:tabs>
          <w:tab w:val="left" w:pos="1802"/>
        </w:tabs>
        <w:ind w:firstLine="560"/>
        <w:jc w:val="center"/>
        <w:rPr>
          <w:rFonts w:hint="eastAsia" w:ascii="宋体" w:hAnsi="宋体" w:eastAsia="宋体" w:cs="宋体"/>
          <w:bCs w:val="0"/>
          <w:kern w:val="2"/>
          <w:sz w:val="28"/>
          <w:szCs w:val="28"/>
          <w:lang w:val="en-US" w:eastAsia="zh-CN" w:bidi="ar-SA"/>
        </w:rPr>
      </w:pPr>
      <w:r>
        <w:rPr>
          <w:rFonts w:hint="eastAsia" w:ascii="宋体" w:hAnsi="宋体" w:eastAsia="宋体" w:cs="宋体"/>
          <w:b/>
          <w:bCs/>
          <w:kern w:val="2"/>
          <w:sz w:val="24"/>
          <w:szCs w:val="24"/>
          <w:lang w:val="en-US" w:eastAsia="zh-CN" w:bidi="ar-SA"/>
        </w:rPr>
        <w:t>教师教育教学能力提升培训班开班仪式</w:t>
      </w:r>
    </w:p>
    <w:p>
      <w:pPr>
        <w:spacing w:line="360" w:lineRule="auto"/>
        <w:ind w:firstLine="562" w:firstLineChars="200"/>
        <w:outlineLvl w:val="2"/>
        <w:rPr>
          <w:rFonts w:hint="eastAsia" w:ascii="宋体" w:hAnsi="宋体" w:eastAsia="宋体" w:cs="宋体"/>
          <w:color w:val="C00000"/>
          <w:sz w:val="28"/>
          <w:szCs w:val="28"/>
          <w:lang w:val="en-US" w:eastAsia="zh-CN"/>
        </w:rPr>
      </w:pPr>
      <w:bookmarkStart w:id="32" w:name="_Toc15891"/>
      <w:r>
        <w:rPr>
          <w:rFonts w:hint="eastAsia" w:ascii="宋体" w:hAnsi="宋体" w:eastAsia="宋体" w:cs="宋体"/>
          <w:b/>
          <w:sz w:val="28"/>
          <w:szCs w:val="28"/>
        </w:rPr>
        <w:t xml:space="preserve">3.2.3对照《普通高等学校举办非学历教育管理规定（试行）》 </w:t>
      </w:r>
      <w:r>
        <w:rPr>
          <w:rFonts w:hint="eastAsia" w:ascii="宋体" w:hAnsi="宋体" w:eastAsia="宋体" w:cs="宋体"/>
          <w:b/>
          <w:sz w:val="28"/>
          <w:szCs w:val="28"/>
          <w:lang w:val="en-US" w:eastAsia="zh-CN"/>
        </w:rPr>
        <w:t>文件</w:t>
      </w:r>
      <w:bookmarkEnd w:id="32"/>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我校非学历继续教育</w:t>
      </w:r>
      <w:r>
        <w:rPr>
          <w:rFonts w:hint="eastAsia" w:ascii="宋体" w:hAnsi="宋体" w:eastAsia="宋体" w:cs="宋体"/>
          <w:sz w:val="28"/>
          <w:szCs w:val="28"/>
          <w:lang w:val="en-US" w:eastAsia="zh-CN"/>
        </w:rPr>
        <w:t>各项工作严格按照教育部、商务部以及省教科院的相关文件要求开展。</w:t>
      </w:r>
    </w:p>
    <w:p>
      <w:pPr>
        <w:spacing w:line="360" w:lineRule="auto"/>
        <w:ind w:firstLine="562" w:firstLineChars="200"/>
        <w:outlineLvl w:val="1"/>
        <w:rPr>
          <w:rFonts w:hint="eastAsia" w:ascii="宋体" w:hAnsi="宋体" w:eastAsia="宋体" w:cs="宋体"/>
          <w:b/>
          <w:sz w:val="28"/>
          <w:szCs w:val="28"/>
        </w:rPr>
      </w:pPr>
      <w:bookmarkStart w:id="33" w:name="_Toc25035"/>
      <w:r>
        <w:rPr>
          <w:rFonts w:hint="eastAsia" w:ascii="宋体" w:hAnsi="宋体" w:eastAsia="宋体" w:cs="宋体"/>
          <w:b/>
          <w:sz w:val="28"/>
          <w:szCs w:val="28"/>
        </w:rPr>
        <w:t>3.3人才培养中的思政教育</w:t>
      </w:r>
      <w:bookmarkEnd w:id="33"/>
    </w:p>
    <w:p>
      <w:pPr>
        <w:spacing w:line="360" w:lineRule="auto"/>
        <w:ind w:firstLine="562" w:firstLineChars="200"/>
        <w:outlineLvl w:val="2"/>
        <w:rPr>
          <w:rFonts w:hint="eastAsia" w:ascii="宋体" w:hAnsi="宋体" w:eastAsia="宋体" w:cs="宋体"/>
          <w:b/>
          <w:sz w:val="28"/>
          <w:szCs w:val="28"/>
        </w:rPr>
      </w:pPr>
      <w:bookmarkStart w:id="34" w:name="_Toc18999"/>
      <w:r>
        <w:rPr>
          <w:rFonts w:hint="eastAsia" w:ascii="宋体" w:hAnsi="宋体" w:eastAsia="宋体" w:cs="宋体"/>
          <w:b/>
          <w:sz w:val="28"/>
          <w:szCs w:val="28"/>
        </w:rPr>
        <w:t>3.3.1思政课程</w:t>
      </w:r>
      <w:bookmarkEnd w:id="34"/>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近年来，学校深入贯彻党的二十大精神，和高校思想政治工作会</w:t>
      </w:r>
    </w:p>
    <w:p>
      <w:pPr>
        <w:spacing w:line="360" w:lineRule="auto"/>
        <w:rPr>
          <w:rFonts w:hint="eastAsia" w:ascii="宋体" w:hAnsi="宋体" w:eastAsia="宋体" w:cs="宋体"/>
          <w:sz w:val="28"/>
          <w:szCs w:val="28"/>
        </w:rPr>
      </w:pPr>
      <w:r>
        <w:rPr>
          <w:rFonts w:hint="eastAsia" w:ascii="宋体" w:hAnsi="宋体" w:eastAsia="宋体" w:cs="宋体"/>
          <w:sz w:val="28"/>
          <w:szCs w:val="28"/>
        </w:rPr>
        <w:t>议精神，坚持“立德树人、德育为主”的工作理念，在学历继续教育和职业培训的课程中加强和融合了思想政治工作和道德修养及法律基础等内容，并针对成教学员特点，运用新媒体技术开辟线上、线下思政教育的新阵地，将思政课程深入到学历继续教育和非学历教育之中。2022 年，在我校</w:t>
      </w:r>
      <w:r>
        <w:rPr>
          <w:rFonts w:hint="eastAsia" w:ascii="宋体" w:hAnsi="宋体" w:eastAsia="宋体" w:cs="宋体"/>
          <w:sz w:val="28"/>
          <w:szCs w:val="28"/>
          <w:lang w:val="en-US" w:eastAsia="zh-CN"/>
        </w:rPr>
        <w:t>各专业的</w:t>
      </w:r>
      <w:r>
        <w:rPr>
          <w:rFonts w:hint="eastAsia" w:ascii="宋体" w:hAnsi="宋体" w:eastAsia="宋体" w:cs="宋体"/>
          <w:sz w:val="28"/>
          <w:szCs w:val="28"/>
        </w:rPr>
        <w:t>人才培养方案</w:t>
      </w:r>
      <w:r>
        <w:rPr>
          <w:rFonts w:hint="eastAsia" w:ascii="宋体" w:hAnsi="宋体" w:eastAsia="宋体" w:cs="宋体"/>
          <w:sz w:val="28"/>
          <w:szCs w:val="28"/>
          <w:lang w:val="en-US" w:eastAsia="zh-CN"/>
        </w:rPr>
        <w:t>实施</w:t>
      </w:r>
      <w:r>
        <w:rPr>
          <w:rFonts w:hint="eastAsia" w:ascii="宋体" w:hAnsi="宋体" w:eastAsia="宋体" w:cs="宋体"/>
          <w:sz w:val="28"/>
          <w:szCs w:val="28"/>
        </w:rPr>
        <w:t>中，每个专业均安排了思政课程，面授课 20 课时、自学 60 课程，总课时量达 80 课时。</w:t>
      </w:r>
    </w:p>
    <w:p>
      <w:pPr>
        <w:spacing w:line="360" w:lineRule="auto"/>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3360" behindDoc="0" locked="0" layoutInCell="1" allowOverlap="1">
            <wp:simplePos x="0" y="0"/>
            <wp:positionH relativeFrom="column">
              <wp:posOffset>149860</wp:posOffset>
            </wp:positionH>
            <wp:positionV relativeFrom="paragraph">
              <wp:posOffset>3810</wp:posOffset>
            </wp:positionV>
            <wp:extent cx="5078095" cy="2729230"/>
            <wp:effectExtent l="0" t="0" r="8255" b="13970"/>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cstate="print"/>
                    <a:stretch>
                      <a:fillRect/>
                    </a:stretch>
                  </pic:blipFill>
                  <pic:spPr>
                    <a:xfrm>
                      <a:off x="0" y="0"/>
                      <a:ext cx="5081766" cy="2729230"/>
                    </a:xfrm>
                    <a:prstGeom prst="rect">
                      <a:avLst/>
                    </a:prstGeom>
                  </pic:spPr>
                </pic:pic>
              </a:graphicData>
            </a:graphic>
          </wp:anchor>
        </w:drawing>
      </w: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p>
    <w:p>
      <w:pPr>
        <w:jc w:val="both"/>
        <w:rPr>
          <w:rFonts w:hint="eastAsia" w:ascii="宋体" w:hAnsi="宋体" w:eastAsia="宋体" w:cs="宋体"/>
          <w:b/>
          <w:bCs/>
          <w:sz w:val="24"/>
          <w:szCs w:val="24"/>
        </w:rPr>
      </w:pPr>
      <w:r>
        <w:rPr>
          <w:rFonts w:hint="eastAsia" w:ascii="宋体" w:hAnsi="宋体" w:eastAsia="宋体" w:cs="宋体"/>
          <w:b/>
          <w:bCs/>
          <w:szCs w:val="21"/>
        </w:rPr>
        <w:t xml:space="preserve"> </w:t>
      </w:r>
      <w:r>
        <w:rPr>
          <w:rFonts w:hint="eastAsia" w:ascii="宋体" w:hAnsi="宋体" w:eastAsia="宋体" w:cs="宋体"/>
          <w:b/>
          <w:bCs/>
          <w:sz w:val="24"/>
          <w:szCs w:val="24"/>
        </w:rPr>
        <w:t xml:space="preserve">    </w:t>
      </w:r>
    </w:p>
    <w:p>
      <w:pPr>
        <w:jc w:val="center"/>
        <w:rPr>
          <w:rFonts w:hint="eastAsia" w:ascii="宋体" w:hAnsi="宋体" w:eastAsia="宋体" w:cs="宋体"/>
          <w:b/>
          <w:bCs/>
          <w:sz w:val="24"/>
          <w:szCs w:val="24"/>
        </w:rPr>
      </w:pPr>
      <w:r>
        <w:rPr>
          <w:rFonts w:hint="eastAsia" w:ascii="宋体" w:hAnsi="宋体" w:eastAsia="宋体" w:cs="宋体"/>
          <w:b/>
          <w:bCs/>
          <w:sz w:val="24"/>
          <w:szCs w:val="24"/>
        </w:rPr>
        <w:t>毛泽东思想概论（数</w:t>
      </w:r>
      <w:r>
        <w:rPr>
          <w:rFonts w:hint="eastAsia" w:ascii="宋体" w:hAnsi="宋体" w:eastAsia="宋体" w:cs="宋体"/>
          <w:b/>
          <w:bCs/>
          <w:sz w:val="24"/>
          <w:szCs w:val="24"/>
          <w:lang w:eastAsia="zh-CN"/>
        </w:rPr>
        <w:t>据</w:t>
      </w:r>
      <w:r>
        <w:rPr>
          <w:rFonts w:hint="eastAsia" w:ascii="宋体" w:hAnsi="宋体" w:eastAsia="宋体" w:cs="宋体"/>
          <w:b/>
          <w:bCs/>
          <w:sz w:val="24"/>
          <w:szCs w:val="24"/>
        </w:rPr>
        <w:t>来源：培训中心）</w:t>
      </w:r>
    </w:p>
    <w:p>
      <w:pPr>
        <w:rPr>
          <w:rFonts w:hint="eastAsia" w:ascii="宋体" w:hAnsi="宋体" w:eastAsia="宋体" w:cs="宋体"/>
          <w:b/>
          <w:bCs/>
          <w:sz w:val="24"/>
          <w:szCs w:val="24"/>
        </w:rPr>
      </w:pPr>
      <w:r>
        <w:rPr>
          <w:rFonts w:hint="eastAsia" w:ascii="宋体" w:hAnsi="宋体" w:eastAsia="宋体" w:cs="宋体"/>
          <w:b/>
          <w:bCs/>
          <w:sz w:val="24"/>
          <w:szCs w:val="24"/>
        </w:rPr>
        <w:drawing>
          <wp:anchor distT="0" distB="0" distL="114300" distR="114300" simplePos="0" relativeHeight="251664384" behindDoc="0" locked="0" layoutInCell="1" allowOverlap="1">
            <wp:simplePos x="0" y="0"/>
            <wp:positionH relativeFrom="column">
              <wp:posOffset>50800</wp:posOffset>
            </wp:positionH>
            <wp:positionV relativeFrom="paragraph">
              <wp:posOffset>101600</wp:posOffset>
            </wp:positionV>
            <wp:extent cx="5302250" cy="3856355"/>
            <wp:effectExtent l="0" t="0" r="12700" b="10795"/>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cstate="print"/>
                    <a:stretch>
                      <a:fillRect/>
                    </a:stretch>
                  </pic:blipFill>
                  <pic:spPr>
                    <a:xfrm>
                      <a:off x="0" y="0"/>
                      <a:ext cx="5302250" cy="3856355"/>
                    </a:xfrm>
                    <a:prstGeom prst="rect">
                      <a:avLst/>
                    </a:prstGeom>
                  </pic:spPr>
                </pic:pic>
              </a:graphicData>
            </a:graphic>
          </wp:anchor>
        </w:drawing>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p>
    <w:p>
      <w:pPr>
        <w:pStyle w:val="2"/>
        <w:rPr>
          <w:rFonts w:hint="eastAsia" w:ascii="宋体" w:hAnsi="宋体" w:eastAsia="宋体" w:cs="宋体"/>
          <w:sz w:val="28"/>
          <w:szCs w:val="28"/>
        </w:rPr>
      </w:pPr>
    </w:p>
    <w:p>
      <w:pPr>
        <w:pStyle w:val="2"/>
        <w:rPr>
          <w:rFonts w:hint="eastAsia" w:ascii="宋体" w:hAnsi="宋体" w:eastAsia="宋体" w:cs="宋体"/>
          <w:sz w:val="28"/>
          <w:szCs w:val="28"/>
        </w:rPr>
      </w:pPr>
    </w:p>
    <w:p>
      <w:pPr>
        <w:pStyle w:val="2"/>
        <w:rPr>
          <w:rFonts w:hint="eastAsia" w:ascii="宋体" w:hAnsi="宋体" w:eastAsia="宋体" w:cs="宋体"/>
          <w:sz w:val="28"/>
          <w:szCs w:val="28"/>
        </w:rPr>
      </w:pPr>
    </w:p>
    <w:p>
      <w:pPr>
        <w:pStyle w:val="2"/>
        <w:rPr>
          <w:rFonts w:hint="eastAsia" w:ascii="宋体" w:hAnsi="宋体" w:eastAsia="宋体" w:cs="宋体"/>
          <w:sz w:val="28"/>
          <w:szCs w:val="28"/>
        </w:rPr>
      </w:pPr>
    </w:p>
    <w:p>
      <w:pPr>
        <w:pStyle w:val="2"/>
        <w:rPr>
          <w:rFonts w:hint="eastAsia" w:ascii="宋体" w:hAnsi="宋体" w:eastAsia="宋体" w:cs="宋体"/>
          <w:sz w:val="28"/>
          <w:szCs w:val="28"/>
        </w:rPr>
      </w:pPr>
    </w:p>
    <w:p>
      <w:pPr>
        <w:ind w:firstLine="1205" w:firstLineChars="500"/>
        <w:jc w:val="both"/>
        <w:rPr>
          <w:rFonts w:hint="eastAsia" w:ascii="宋体" w:hAnsi="宋体" w:eastAsia="宋体" w:cs="宋体"/>
          <w:b/>
          <w:bCs/>
          <w:sz w:val="24"/>
          <w:szCs w:val="24"/>
        </w:rPr>
      </w:pPr>
    </w:p>
    <w:p>
      <w:pPr>
        <w:ind w:firstLine="1205" w:firstLineChars="500"/>
        <w:jc w:val="both"/>
        <w:rPr>
          <w:rFonts w:hint="eastAsia" w:ascii="宋体" w:hAnsi="宋体" w:eastAsia="宋体" w:cs="宋体"/>
          <w:b/>
          <w:bCs/>
          <w:sz w:val="24"/>
          <w:szCs w:val="24"/>
        </w:rPr>
      </w:pPr>
    </w:p>
    <w:p>
      <w:pPr>
        <w:ind w:firstLine="1205" w:firstLineChars="500"/>
        <w:jc w:val="both"/>
        <w:rPr>
          <w:rFonts w:hint="eastAsia" w:ascii="宋体" w:hAnsi="宋体" w:eastAsia="宋体" w:cs="宋体"/>
          <w:b/>
          <w:bCs/>
          <w:sz w:val="24"/>
          <w:szCs w:val="24"/>
        </w:rPr>
      </w:pPr>
    </w:p>
    <w:p>
      <w:pPr>
        <w:ind w:firstLine="1205" w:firstLineChars="500"/>
        <w:jc w:val="both"/>
        <w:rPr>
          <w:rFonts w:hint="eastAsia" w:ascii="宋体" w:hAnsi="宋体" w:eastAsia="宋体" w:cs="宋体"/>
          <w:b/>
          <w:bCs/>
          <w:sz w:val="24"/>
          <w:szCs w:val="24"/>
        </w:rPr>
      </w:pPr>
      <w:r>
        <w:rPr>
          <w:rFonts w:hint="eastAsia" w:ascii="宋体" w:hAnsi="宋体" w:eastAsia="宋体" w:cs="宋体"/>
          <w:b/>
          <w:bCs/>
          <w:sz w:val="24"/>
          <w:szCs w:val="24"/>
        </w:rPr>
        <w:t>思想道德修养与法律基础（数</w:t>
      </w:r>
      <w:r>
        <w:rPr>
          <w:rFonts w:hint="eastAsia" w:ascii="宋体" w:hAnsi="宋体" w:eastAsia="宋体" w:cs="宋体"/>
          <w:b/>
          <w:bCs/>
          <w:sz w:val="24"/>
          <w:szCs w:val="24"/>
          <w:lang w:eastAsia="zh-CN"/>
        </w:rPr>
        <w:t>据</w:t>
      </w:r>
      <w:r>
        <w:rPr>
          <w:rFonts w:hint="eastAsia" w:ascii="宋体" w:hAnsi="宋体" w:eastAsia="宋体" w:cs="宋体"/>
          <w:b/>
          <w:bCs/>
          <w:sz w:val="24"/>
          <w:szCs w:val="24"/>
        </w:rPr>
        <w:t>来源：培训中心）</w:t>
      </w:r>
    </w:p>
    <w:p>
      <w:pPr>
        <w:spacing w:line="360" w:lineRule="auto"/>
        <w:ind w:firstLine="562" w:firstLineChars="200"/>
        <w:outlineLvl w:val="2"/>
        <w:rPr>
          <w:rFonts w:hint="eastAsia" w:ascii="宋体" w:hAnsi="宋体" w:eastAsia="宋体" w:cs="宋体"/>
          <w:sz w:val="28"/>
          <w:szCs w:val="28"/>
        </w:rPr>
      </w:pPr>
      <w:bookmarkStart w:id="35" w:name="_Toc28141"/>
      <w:r>
        <w:rPr>
          <w:rFonts w:hint="eastAsia" w:ascii="宋体" w:hAnsi="宋体" w:eastAsia="宋体" w:cs="宋体"/>
          <w:b/>
          <w:sz w:val="28"/>
          <w:szCs w:val="28"/>
        </w:rPr>
        <w:t>3.3.2校园文化建设</w:t>
      </w:r>
      <w:bookmarkEnd w:id="35"/>
    </w:p>
    <w:p>
      <w:pPr>
        <w:spacing w:line="360" w:lineRule="auto"/>
        <w:ind w:firstLine="560" w:firstLineChars="200"/>
        <w:rPr>
          <w:rFonts w:hint="eastAsia" w:ascii="宋体" w:hAnsi="宋体" w:eastAsia="宋体" w:cs="宋体"/>
          <w:b/>
          <w:bCs/>
          <w:sz w:val="28"/>
          <w:szCs w:val="28"/>
        </w:rPr>
      </w:pPr>
      <w:r>
        <w:rPr>
          <w:rFonts w:hint="eastAsia" w:ascii="宋体" w:hAnsi="宋体" w:eastAsia="宋体" w:cs="宋体"/>
          <w:sz w:val="28"/>
          <w:szCs w:val="28"/>
        </w:rPr>
        <w:t>组织学历继续教育学员来校参加毕业典礼，发放毕业证书，并对评选出优秀学员发放荣誉证书，使学员来到校园中，深入体会校园文化，使师生情谊进一步得到增强。</w:t>
      </w:r>
    </w:p>
    <w:p>
      <w:pPr>
        <w:spacing w:line="360" w:lineRule="auto"/>
        <w:ind w:firstLine="562" w:firstLineChars="200"/>
        <w:outlineLvl w:val="1"/>
        <w:rPr>
          <w:rFonts w:hint="eastAsia" w:ascii="宋体" w:hAnsi="宋体" w:eastAsia="宋体" w:cs="宋体"/>
          <w:b/>
          <w:bCs/>
          <w:sz w:val="28"/>
          <w:szCs w:val="28"/>
        </w:rPr>
      </w:pPr>
      <w:bookmarkStart w:id="36" w:name="_Toc9421"/>
      <w:r>
        <w:rPr>
          <w:rFonts w:hint="eastAsia" w:ascii="宋体" w:hAnsi="宋体" w:eastAsia="宋体" w:cs="宋体"/>
          <w:b/>
          <w:bCs/>
          <w:sz w:val="28"/>
          <w:szCs w:val="28"/>
        </w:rPr>
        <w:t>3.4学员学习效果</w:t>
      </w:r>
      <w:bookmarkEnd w:id="36"/>
    </w:p>
    <w:p>
      <w:pPr>
        <w:spacing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3.4.1满意度</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通过近两次线下学生活动以及调查问卷的结果反映，学生对于我校高等学历继续教育的学生管理与服务、日常教学工作以及学生活动的开展等工作满意度高达92%以上。</w:t>
      </w:r>
    </w:p>
    <w:p>
      <w:pPr>
        <w:spacing w:line="360" w:lineRule="auto"/>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rPr>
        <w:t>3.4.2评价</w:t>
      </w:r>
      <w:r>
        <w:rPr>
          <w:rFonts w:hint="eastAsia" w:ascii="宋体" w:hAnsi="宋体" w:eastAsia="宋体" w:cs="宋体"/>
          <w:b/>
          <w:bCs/>
          <w:sz w:val="28"/>
          <w:szCs w:val="28"/>
          <w:lang w:val="en-US" w:eastAsia="zh-CN"/>
        </w:rPr>
        <w:t xml:space="preserve"> </w:t>
      </w:r>
    </w:p>
    <w:p>
      <w:pPr>
        <w:pStyle w:val="2"/>
        <w:ind w:left="0" w:leftChars="0"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我校高等学历继续教育的学生多为已参加工作的社会人士，通过学生反馈以及用人单位调查问询，我们了解到，单位对学生的认可度普遍较高，特别是针对于学生的创新能力、学习能力、沟通表达能力等方面，给予了高度评价。</w:t>
      </w:r>
    </w:p>
    <w:p>
      <w:pPr>
        <w:spacing w:line="360" w:lineRule="auto"/>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3.4.3毕业学生取得的成就 </w:t>
      </w:r>
    </w:p>
    <w:p>
      <w:pPr>
        <w:pStyle w:val="2"/>
        <w:ind w:left="0" w:leftChars="0"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我校2020级成教毕业生刘敏，在读期间积极完成各项学习、考试任务，各科目成绩良好，于2022年6月顺利毕业后，在所在单位顺利晋升至管理层。同时，该生凭借湖南外贸职业学院专科毕业学历顺利报读自学考试本科会计学专业，继续深造学历。</w:t>
      </w:r>
    </w:p>
    <w:p>
      <w:pPr>
        <w:spacing w:line="360" w:lineRule="auto"/>
        <w:ind w:firstLine="562" w:firstLineChars="200"/>
        <w:outlineLvl w:val="0"/>
        <w:rPr>
          <w:rFonts w:hint="eastAsia" w:ascii="宋体" w:hAnsi="宋体" w:eastAsia="宋体" w:cs="宋体"/>
          <w:b/>
          <w:sz w:val="28"/>
          <w:szCs w:val="28"/>
        </w:rPr>
      </w:pPr>
      <w:bookmarkStart w:id="37" w:name="_Toc12116"/>
      <w:r>
        <w:rPr>
          <w:rFonts w:hint="eastAsia" w:ascii="宋体" w:hAnsi="宋体" w:eastAsia="宋体" w:cs="宋体"/>
          <w:b/>
          <w:sz w:val="28"/>
          <w:szCs w:val="28"/>
        </w:rPr>
        <w:t>4.质量保证</w:t>
      </w:r>
      <w:bookmarkEnd w:id="37"/>
    </w:p>
    <w:p>
      <w:pPr>
        <w:spacing w:line="360" w:lineRule="auto"/>
        <w:ind w:firstLine="562" w:firstLineChars="200"/>
        <w:outlineLvl w:val="1"/>
        <w:rPr>
          <w:rFonts w:hint="eastAsia" w:ascii="宋体" w:hAnsi="宋体" w:eastAsia="宋体" w:cs="宋体"/>
          <w:b/>
          <w:sz w:val="28"/>
          <w:szCs w:val="28"/>
        </w:rPr>
      </w:pPr>
      <w:bookmarkStart w:id="38" w:name="_Toc703"/>
      <w:r>
        <w:rPr>
          <w:rFonts w:hint="eastAsia" w:ascii="宋体" w:hAnsi="宋体" w:eastAsia="宋体" w:cs="宋体"/>
          <w:b/>
          <w:sz w:val="28"/>
          <w:szCs w:val="28"/>
        </w:rPr>
        <w:t>4.1制度建设</w:t>
      </w:r>
      <w:bookmarkEnd w:id="38"/>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对照《教育部关于推进新时代普通高等学校学历继续教育改革的实施意见》（教职成〔2022〕2号）文件的有关要求，继续教育学院牵头针对《湖南外贸职业学院招生管理办法》、《湖南外贸职业学院学籍管理规定》、《湖南外贸职业学院考试管理规定》、《湖南外贸职业学院收费管理办法》等9个制度正在进行修订，所有制度在12月12日专题党委会上审核通过。目前已挂官网。</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同时完成了《湖南外贸职业学院学历继续教育应急反馈预案》，进一步完善回应学生和社会诉求应急反馈机制。</w:t>
      </w:r>
    </w:p>
    <w:p>
      <w:pPr>
        <w:spacing w:line="360" w:lineRule="auto"/>
        <w:ind w:firstLine="562" w:firstLineChars="200"/>
        <w:outlineLvl w:val="1"/>
        <w:rPr>
          <w:rFonts w:hint="eastAsia" w:ascii="宋体" w:hAnsi="宋体" w:eastAsia="宋体" w:cs="宋体"/>
          <w:b/>
          <w:sz w:val="28"/>
          <w:szCs w:val="28"/>
        </w:rPr>
      </w:pPr>
      <w:bookmarkStart w:id="39" w:name="_Toc28206"/>
      <w:r>
        <w:rPr>
          <w:rFonts w:hint="eastAsia" w:ascii="宋体" w:hAnsi="宋体" w:eastAsia="宋体" w:cs="宋体"/>
          <w:b/>
          <w:sz w:val="28"/>
          <w:szCs w:val="28"/>
        </w:rPr>
        <w:t>4.2师资保障</w:t>
      </w:r>
      <w:bookmarkEnd w:id="39"/>
    </w:p>
    <w:p>
      <w:pPr>
        <w:spacing w:line="360" w:lineRule="auto"/>
        <w:ind w:firstLine="562" w:firstLineChars="200"/>
        <w:outlineLvl w:val="2"/>
        <w:rPr>
          <w:rFonts w:hint="eastAsia" w:ascii="宋体" w:hAnsi="宋体" w:eastAsia="宋体" w:cs="宋体"/>
          <w:b/>
          <w:sz w:val="28"/>
          <w:szCs w:val="28"/>
        </w:rPr>
      </w:pPr>
      <w:bookmarkStart w:id="40" w:name="_Toc32446"/>
      <w:r>
        <w:rPr>
          <w:rFonts w:hint="eastAsia" w:ascii="宋体" w:hAnsi="宋体" w:eastAsia="宋体" w:cs="宋体"/>
          <w:b/>
          <w:sz w:val="28"/>
          <w:szCs w:val="28"/>
        </w:rPr>
        <w:t>4.2.1师资结构</w:t>
      </w:r>
      <w:bookmarkEnd w:id="4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学校不断充实、优化继续教育教学管理队伍，强化管理人员的服务意识，并拥有一支人员稳定、结构合理、整体素质高、服务意识强的师资队伍；同时，也引进了全国双一流高校的师资资源和课程，能够满足学校或教学的学习要求。且学校继续教育的授课教师全部来自于全日制普通高等教育，共 </w:t>
      </w:r>
      <w:r>
        <w:rPr>
          <w:rFonts w:hint="eastAsia" w:ascii="宋体" w:hAnsi="宋体" w:eastAsia="宋体" w:cs="宋体"/>
          <w:color w:val="000000" w:themeColor="text1"/>
          <w:sz w:val="28"/>
          <w:szCs w:val="28"/>
          <w:lang w:val="en-US" w:eastAsia="zh-CN"/>
          <w14:textFill>
            <w14:solidFill>
              <w14:schemeClr w14:val="tx1"/>
            </w14:solidFill>
          </w14:textFill>
        </w:rPr>
        <w:t>22</w:t>
      </w:r>
      <w:r>
        <w:rPr>
          <w:rFonts w:hint="eastAsia" w:ascii="宋体" w:hAnsi="宋体" w:eastAsia="宋体" w:cs="宋体"/>
          <w:color w:val="000000" w:themeColor="text1"/>
          <w:sz w:val="28"/>
          <w:szCs w:val="28"/>
          <w14:textFill>
            <w14:solidFill>
              <w14:schemeClr w14:val="tx1"/>
            </w14:solidFill>
          </w14:textFill>
        </w:rPr>
        <w:t xml:space="preserve"> 人，专职管理人员 12 人，聘请授课教师辅导员 </w:t>
      </w:r>
      <w:r>
        <w:rPr>
          <w:rFonts w:hint="eastAsia" w:ascii="宋体" w:hAnsi="宋体" w:eastAsia="宋体" w:cs="宋体"/>
          <w:color w:val="000000" w:themeColor="text1"/>
          <w:sz w:val="28"/>
          <w:szCs w:val="28"/>
          <w:lang w:val="en-US" w:eastAsia="zh-CN"/>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t>人。师生比例约为 1∶100，可以满足学生的学习需求。</w:t>
      </w:r>
    </w:p>
    <w:p>
      <w:pPr>
        <w:spacing w:line="360" w:lineRule="auto"/>
        <w:ind w:firstLine="562" w:firstLineChars="200"/>
        <w:outlineLvl w:val="2"/>
        <w:rPr>
          <w:rFonts w:hint="eastAsia" w:ascii="宋体" w:hAnsi="宋体" w:eastAsia="宋体" w:cs="宋体"/>
          <w:b/>
          <w:sz w:val="28"/>
          <w:szCs w:val="28"/>
          <w:lang w:val="en-US" w:eastAsia="zh-CN"/>
        </w:rPr>
      </w:pPr>
      <w:bookmarkStart w:id="41" w:name="_Toc2208"/>
      <w:r>
        <w:rPr>
          <w:rFonts w:hint="eastAsia" w:ascii="宋体" w:hAnsi="宋体" w:eastAsia="宋体" w:cs="宋体"/>
          <w:b/>
          <w:sz w:val="28"/>
          <w:szCs w:val="28"/>
        </w:rPr>
        <w:t>4.</w:t>
      </w:r>
      <w:r>
        <w:rPr>
          <w:rFonts w:hint="eastAsia" w:ascii="宋体" w:hAnsi="宋体" w:eastAsia="宋体" w:cs="宋体"/>
          <w:b/>
          <w:sz w:val="28"/>
          <w:szCs w:val="28"/>
          <w:lang w:val="en-US" w:eastAsia="zh-CN"/>
        </w:rPr>
        <w:t>2</w:t>
      </w:r>
      <w:r>
        <w:rPr>
          <w:rFonts w:hint="eastAsia" w:ascii="宋体" w:hAnsi="宋体" w:eastAsia="宋体" w:cs="宋体"/>
          <w:b/>
          <w:sz w:val="28"/>
          <w:szCs w:val="28"/>
        </w:rPr>
        <w:t>.</w:t>
      </w:r>
      <w:r>
        <w:rPr>
          <w:rFonts w:hint="eastAsia" w:ascii="宋体" w:hAnsi="宋体" w:eastAsia="宋体" w:cs="宋体"/>
          <w:b/>
          <w:sz w:val="28"/>
          <w:szCs w:val="28"/>
          <w:lang w:val="en-US" w:eastAsia="zh-CN"/>
        </w:rPr>
        <w:t>2非学历教育师资</w:t>
      </w:r>
      <w:bookmarkEnd w:id="4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color w:val="000000" w:themeColor="text1"/>
          <w:kern w:val="2"/>
          <w:sz w:val="28"/>
          <w:szCs w:val="28"/>
          <w:lang w:val="en-US" w:eastAsia="zh-CN" w:bidi="ar-SA"/>
          <w14:textFill>
            <w14:solidFill>
              <w14:schemeClr w14:val="tx1"/>
            </w14:solidFill>
          </w14:textFill>
        </w:rPr>
      </w:pPr>
      <w:bookmarkStart w:id="42" w:name="_Toc11998"/>
      <w:r>
        <w:rPr>
          <w:rFonts w:hint="eastAsia" w:ascii="宋体" w:hAnsi="宋体" w:eastAsia="宋体" w:cs="宋体"/>
          <w:color w:val="000000" w:themeColor="text1"/>
          <w:kern w:val="2"/>
          <w:sz w:val="28"/>
          <w:szCs w:val="28"/>
          <w:lang w:val="en-US" w:eastAsia="zh-CN" w:bidi="ar-SA"/>
          <w14:textFill>
            <w14:solidFill>
              <w14:schemeClr w14:val="tx1"/>
            </w14:solidFill>
          </w14:textFill>
        </w:rPr>
        <w:t>非学历教育师资和管理队伍均来自本校全日制普通高等教育。学校重视师资队伍建设，通过内部培养、公开招聘、人才引进等方式，建成了一支结构合理、质量优良的高水平师资队伍。学校现有教职工588人，其中专任教师总数430人，双师素质专任教师比例40.23%，研究生学历专任教师数253人，高级专业技术职务专任教师比例27.44%。</w:t>
      </w:r>
      <w:bookmarkEnd w:id="42"/>
    </w:p>
    <w:p>
      <w:pPr>
        <w:pStyle w:val="2"/>
        <w:keepNext w:val="0"/>
        <w:keepLines w:val="0"/>
        <w:pageBreakBefore w:val="0"/>
        <w:widowControl w:val="0"/>
        <w:tabs>
          <w:tab w:val="left" w:pos="888"/>
        </w:tabs>
        <w:kinsoku/>
        <w:wordWrap/>
        <w:overflowPunct/>
        <w:topLinePunct w:val="0"/>
        <w:bidi w:val="0"/>
        <w:adjustRightInd/>
        <w:snapToGrid/>
        <w:ind w:left="0" w:leftChars="0" w:firstLine="562" w:firstLineChars="200"/>
        <w:textAlignment w:val="auto"/>
        <w:outlineLvl w:val="1"/>
        <w:rPr>
          <w:rFonts w:hint="eastAsia" w:ascii="宋体" w:hAnsi="宋体" w:eastAsia="宋体" w:cs="宋体"/>
          <w:b/>
          <w:sz w:val="28"/>
          <w:szCs w:val="28"/>
          <w:lang w:val="en-US" w:eastAsia="zh-CN"/>
        </w:rPr>
      </w:pPr>
      <w:bookmarkStart w:id="43" w:name="_Toc23477"/>
      <w:r>
        <w:rPr>
          <w:rFonts w:hint="eastAsia" w:ascii="宋体" w:hAnsi="宋体" w:eastAsia="宋体" w:cs="宋体"/>
          <w:b/>
          <w:sz w:val="28"/>
          <w:szCs w:val="28"/>
        </w:rPr>
        <w:t>4.</w:t>
      </w:r>
      <w:r>
        <w:rPr>
          <w:rFonts w:hint="eastAsia" w:ascii="宋体" w:hAnsi="宋体" w:eastAsia="宋体" w:cs="宋体"/>
          <w:b/>
          <w:sz w:val="28"/>
          <w:szCs w:val="28"/>
          <w:lang w:val="en-US" w:eastAsia="zh-CN"/>
        </w:rPr>
        <w:t>3资源建设</w:t>
      </w:r>
      <w:bookmarkEnd w:id="43"/>
    </w:p>
    <w:p>
      <w:pPr>
        <w:pStyle w:val="2"/>
        <w:keepNext w:val="0"/>
        <w:keepLines w:val="0"/>
        <w:pageBreakBefore w:val="0"/>
        <w:widowControl w:val="0"/>
        <w:kinsoku/>
        <w:wordWrap/>
        <w:overflowPunct/>
        <w:topLinePunct w:val="0"/>
        <w:bidi w:val="0"/>
        <w:adjustRightInd/>
        <w:snapToGrid/>
        <w:ind w:left="0" w:leftChars="0" w:firstLine="562" w:firstLineChars="200"/>
        <w:textAlignment w:val="auto"/>
        <w:outlineLvl w:val="2"/>
        <w:rPr>
          <w:rFonts w:hint="eastAsia" w:ascii="宋体" w:hAnsi="宋体" w:eastAsia="宋体" w:cs="宋体"/>
          <w:b/>
          <w:sz w:val="28"/>
          <w:szCs w:val="28"/>
          <w:lang w:val="en-US" w:eastAsia="zh-CN"/>
        </w:rPr>
      </w:pPr>
      <w:bookmarkStart w:id="44" w:name="_Toc26106"/>
      <w:r>
        <w:rPr>
          <w:rFonts w:hint="eastAsia" w:ascii="宋体" w:hAnsi="宋体" w:eastAsia="宋体" w:cs="宋体"/>
          <w:b/>
          <w:sz w:val="28"/>
          <w:szCs w:val="28"/>
        </w:rPr>
        <w:t>4.</w:t>
      </w:r>
      <w:r>
        <w:rPr>
          <w:rFonts w:hint="eastAsia" w:ascii="宋体" w:hAnsi="宋体" w:eastAsia="宋体" w:cs="宋体"/>
          <w:b/>
          <w:sz w:val="28"/>
          <w:szCs w:val="28"/>
          <w:lang w:val="en-US" w:eastAsia="zh-CN"/>
        </w:rPr>
        <w:t>3</w:t>
      </w:r>
      <w:r>
        <w:rPr>
          <w:rFonts w:hint="eastAsia" w:ascii="宋体" w:hAnsi="宋体" w:eastAsia="宋体" w:cs="宋体"/>
          <w:b/>
          <w:sz w:val="28"/>
          <w:szCs w:val="28"/>
        </w:rPr>
        <w:t>.</w:t>
      </w:r>
      <w:r>
        <w:rPr>
          <w:rFonts w:hint="eastAsia" w:ascii="宋体" w:hAnsi="宋体" w:eastAsia="宋体" w:cs="宋体"/>
          <w:b/>
          <w:sz w:val="28"/>
          <w:szCs w:val="28"/>
          <w:lang w:val="en-US" w:eastAsia="zh-CN"/>
        </w:rPr>
        <w:t>1教材与数字化学习资源的总量</w:t>
      </w:r>
      <w:bookmarkEnd w:id="44"/>
    </w:p>
    <w:p>
      <w:pPr>
        <w:pStyle w:val="6"/>
        <w:keepNext w:val="0"/>
        <w:keepLines w:val="0"/>
        <w:pageBreakBefore w:val="0"/>
        <w:widowControl w:val="0"/>
        <w:kinsoku/>
        <w:wordWrap/>
        <w:overflowPunct/>
        <w:topLinePunct w:val="0"/>
        <w:autoSpaceDE w:val="0"/>
        <w:autoSpaceDN w:val="0"/>
        <w:bidi w:val="0"/>
        <w:adjustRightInd/>
        <w:snapToGrid/>
        <w:spacing w:line="348" w:lineRule="auto"/>
        <w:ind w:right="0" w:firstLine="560" w:firstLineChars="200"/>
        <w:jc w:val="both"/>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我校成人学历继续教育学生所用教材均为高等教育全日制在校生教材，其中艺术学院孙媛老师在普通高等教育“ 十三五” 规划教材《Photoshop 平面图像处理》中任副主编。2 本教材在 2020 年被认定为湖南省职业教育优秀教材其中《铁路旅客运输服务》入选国家职业教育十三五规划教材，2022年继续使用此类教材。</w:t>
      </w:r>
      <w:r>
        <w:rPr>
          <w:rFonts w:hint="eastAsia" w:ascii="宋体" w:hAnsi="宋体" w:eastAsia="宋体" w:cs="宋体"/>
          <w:color w:val="auto"/>
          <w:sz w:val="28"/>
          <w:szCs w:val="28"/>
        </w:rPr>
        <w:t>对照教育部《职业院校教材管理办法》，设立“学校——院部——教研室——教师”四级四轮检查模式，采用全面检查与重点抽查结合的方式，耗时近 1 个月对我院教教材编写管理、选用与使用规范性、教材内容的科学先进性与针对性、教材对接产业发展的紧密性与适应性、教材符合新时代技术技能人才培养新要求和学生认知规律的程度等方面进行了系统全面排查，层层落实、确保排查无死角，形成了排查报告，更有效把握教材内容与质量，为未来优化教材管理机制奠定了良好基础。学校利用引进的“尚学课堂”学习平台</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采取线上线下相结合的形式开展教学。电子图书390册，音频数达到23010小时，网络课程390门。</w:t>
      </w:r>
    </w:p>
    <w:p>
      <w:pPr>
        <w:pStyle w:val="6"/>
        <w:keepNext w:val="0"/>
        <w:keepLines w:val="0"/>
        <w:pageBreakBefore w:val="0"/>
        <w:widowControl w:val="0"/>
        <w:kinsoku/>
        <w:wordWrap/>
        <w:overflowPunct/>
        <w:topLinePunct w:val="0"/>
        <w:autoSpaceDE w:val="0"/>
        <w:autoSpaceDN w:val="0"/>
        <w:bidi w:val="0"/>
        <w:adjustRightInd/>
        <w:snapToGrid/>
        <w:spacing w:line="348" w:lineRule="auto"/>
        <w:ind w:right="0" w:firstLine="562" w:firstLineChars="200"/>
        <w:jc w:val="both"/>
        <w:textAlignment w:val="auto"/>
        <w:outlineLvl w:val="2"/>
        <w:rPr>
          <w:rFonts w:hint="eastAsia" w:ascii="宋体" w:hAnsi="宋体" w:eastAsia="宋体" w:cs="宋体"/>
          <w:b/>
          <w:color w:val="auto"/>
          <w:sz w:val="28"/>
          <w:szCs w:val="28"/>
          <w:lang w:val="en-US" w:eastAsia="zh-CN"/>
        </w:rPr>
      </w:pPr>
      <w:bookmarkStart w:id="45" w:name="_Toc31634"/>
      <w:r>
        <w:rPr>
          <w:rFonts w:hint="eastAsia" w:ascii="宋体" w:hAnsi="宋体" w:eastAsia="宋体" w:cs="宋体"/>
          <w:b/>
          <w:color w:val="auto"/>
          <w:sz w:val="28"/>
          <w:szCs w:val="28"/>
        </w:rPr>
        <w:t>4.</w:t>
      </w:r>
      <w:r>
        <w:rPr>
          <w:rFonts w:hint="eastAsia" w:ascii="宋体" w:hAnsi="宋体" w:eastAsia="宋体" w:cs="宋体"/>
          <w:b/>
          <w:color w:val="auto"/>
          <w:sz w:val="28"/>
          <w:szCs w:val="28"/>
          <w:lang w:val="en-US" w:eastAsia="zh-CN"/>
        </w:rPr>
        <w:t>3</w:t>
      </w:r>
      <w:r>
        <w:rPr>
          <w:rFonts w:hint="eastAsia" w:ascii="宋体" w:hAnsi="宋体" w:eastAsia="宋体" w:cs="宋体"/>
          <w:b/>
          <w:color w:val="auto"/>
          <w:sz w:val="28"/>
          <w:szCs w:val="28"/>
        </w:rPr>
        <w:t>.</w:t>
      </w:r>
      <w:r>
        <w:rPr>
          <w:rFonts w:hint="eastAsia" w:ascii="宋体" w:hAnsi="宋体" w:eastAsia="宋体" w:cs="宋体"/>
          <w:b/>
          <w:color w:val="auto"/>
          <w:sz w:val="28"/>
          <w:szCs w:val="28"/>
          <w:lang w:val="en-US" w:eastAsia="zh-CN"/>
        </w:rPr>
        <w:t>2教材及数字化学习资源的新建情况</w:t>
      </w:r>
      <w:bookmarkEnd w:id="45"/>
    </w:p>
    <w:p>
      <w:pPr>
        <w:pStyle w:val="6"/>
        <w:keepNext w:val="0"/>
        <w:keepLines w:val="0"/>
        <w:pageBreakBefore w:val="0"/>
        <w:widowControl w:val="0"/>
        <w:kinsoku/>
        <w:wordWrap/>
        <w:overflowPunct/>
        <w:topLinePunct w:val="0"/>
        <w:autoSpaceDE w:val="0"/>
        <w:autoSpaceDN w:val="0"/>
        <w:bidi w:val="0"/>
        <w:adjustRightInd/>
        <w:snapToGrid/>
        <w:spacing w:line="348" w:lineRule="auto"/>
        <w:ind w:right="0" w:firstLine="560" w:firstLineChars="200"/>
        <w:jc w:val="both"/>
        <w:textAlignment w:val="auto"/>
        <w:rPr>
          <w:rFonts w:hint="eastAsia" w:ascii="宋体" w:hAnsi="宋体" w:eastAsia="宋体" w:cs="宋体"/>
          <w:color w:val="C00000"/>
          <w:kern w:val="2"/>
          <w:sz w:val="28"/>
          <w:szCs w:val="28"/>
          <w:lang w:val="en-US" w:eastAsia="zh-CN" w:bidi="ar-SA"/>
        </w:rPr>
      </w:pPr>
      <w:r>
        <w:rPr>
          <w:rFonts w:hint="eastAsia" w:ascii="宋体" w:hAnsi="宋体" w:eastAsia="宋体" w:cs="宋体"/>
          <w:color w:val="auto"/>
          <w:kern w:val="2"/>
          <w:sz w:val="28"/>
          <w:szCs w:val="28"/>
          <w:lang w:val="en-US" w:eastAsia="zh-CN" w:bidi="ar-SA"/>
        </w:rPr>
        <w:t>2022年继续使用此类教材和数字化资源。</w:t>
      </w:r>
    </w:p>
    <w:p>
      <w:pPr>
        <w:keepNext w:val="0"/>
        <w:keepLines w:val="0"/>
        <w:pageBreakBefore w:val="0"/>
        <w:widowControl w:val="0"/>
        <w:kinsoku/>
        <w:wordWrap/>
        <w:overflowPunct/>
        <w:topLinePunct w:val="0"/>
        <w:bidi w:val="0"/>
        <w:adjustRightInd/>
        <w:snapToGrid/>
        <w:spacing w:line="360" w:lineRule="auto"/>
        <w:ind w:firstLine="562" w:firstLineChars="200"/>
        <w:textAlignment w:val="auto"/>
        <w:outlineLvl w:val="1"/>
        <w:rPr>
          <w:rFonts w:hint="eastAsia" w:ascii="宋体" w:hAnsi="宋体" w:eastAsia="宋体" w:cs="宋体"/>
          <w:b/>
          <w:sz w:val="28"/>
          <w:szCs w:val="28"/>
        </w:rPr>
      </w:pPr>
      <w:bookmarkStart w:id="46" w:name="_Toc8388"/>
      <w:r>
        <w:rPr>
          <w:rFonts w:hint="eastAsia" w:ascii="宋体" w:hAnsi="宋体" w:eastAsia="宋体" w:cs="宋体"/>
          <w:b/>
          <w:sz w:val="28"/>
          <w:szCs w:val="28"/>
        </w:rPr>
        <w:t>4.4设施设备</w:t>
      </w:r>
      <w:bookmarkEnd w:id="46"/>
    </w:p>
    <w:p>
      <w:pPr>
        <w:keepNext w:val="0"/>
        <w:keepLines w:val="0"/>
        <w:pageBreakBefore w:val="0"/>
        <w:widowControl w:val="0"/>
        <w:kinsoku/>
        <w:wordWrap/>
        <w:overflowPunct/>
        <w:topLinePunct w:val="0"/>
        <w:bidi w:val="0"/>
        <w:adjustRightInd/>
        <w:snapToGrid/>
        <w:spacing w:line="360" w:lineRule="auto"/>
        <w:ind w:firstLine="562" w:firstLineChars="200"/>
        <w:textAlignment w:val="auto"/>
        <w:rPr>
          <w:rFonts w:hint="eastAsia" w:ascii="宋体" w:hAnsi="宋体" w:eastAsia="宋体" w:cs="宋体"/>
          <w:sz w:val="28"/>
          <w:szCs w:val="28"/>
        </w:rPr>
      </w:pPr>
      <w:r>
        <w:rPr>
          <w:rFonts w:hint="eastAsia" w:ascii="宋体" w:hAnsi="宋体" w:eastAsia="宋体" w:cs="宋体"/>
          <w:b/>
          <w:sz w:val="28"/>
          <w:szCs w:val="28"/>
        </w:rPr>
        <w:t>4.4.1</w:t>
      </w:r>
      <w:r>
        <w:rPr>
          <w:rFonts w:hint="eastAsia" w:ascii="宋体" w:hAnsi="宋体" w:eastAsia="宋体" w:cs="宋体"/>
          <w:sz w:val="28"/>
          <w:szCs w:val="28"/>
        </w:rPr>
        <w:t>学校基础设施拥有教学楼 3 栋，且全部配备有多媒体设施，可容纳 10000 多学生学习，学校共有实训场地</w:t>
      </w:r>
      <w:r>
        <w:rPr>
          <w:rFonts w:hint="eastAsia" w:ascii="宋体" w:hAnsi="宋体" w:eastAsia="宋体" w:cs="宋体"/>
          <w:sz w:val="28"/>
          <w:szCs w:val="28"/>
          <w:lang w:val="en-US" w:eastAsia="zh-CN"/>
        </w:rPr>
        <w:t>20392</w:t>
      </w:r>
      <w:r>
        <w:rPr>
          <w:rFonts w:hint="eastAsia" w:ascii="宋体" w:hAnsi="宋体" w:eastAsia="宋体" w:cs="宋体"/>
          <w:sz w:val="28"/>
          <w:szCs w:val="28"/>
        </w:rPr>
        <w:t xml:space="preserve">平方米，教学用计算机 </w:t>
      </w:r>
      <w:r>
        <w:rPr>
          <w:rFonts w:hint="eastAsia" w:ascii="宋体" w:hAnsi="宋体" w:eastAsia="宋体" w:cs="宋体"/>
          <w:sz w:val="28"/>
          <w:szCs w:val="28"/>
          <w:lang w:val="en-US" w:eastAsia="zh-CN"/>
        </w:rPr>
        <w:t>2477</w:t>
      </w:r>
      <w:r>
        <w:rPr>
          <w:rFonts w:hint="eastAsia" w:ascii="宋体" w:hAnsi="宋体" w:eastAsia="宋体" w:cs="宋体"/>
          <w:sz w:val="28"/>
          <w:szCs w:val="28"/>
        </w:rPr>
        <w:t>台，并且配备专门的网络教学平台，能满足继续教育学生的日常学习，信息化教学和学生自主学习的需求。</w:t>
      </w:r>
    </w:p>
    <w:p>
      <w:pPr>
        <w:spacing w:line="360" w:lineRule="auto"/>
        <w:ind w:firstLine="562" w:firstLineChars="200"/>
        <w:rPr>
          <w:rFonts w:hint="eastAsia" w:ascii="宋体" w:hAnsi="宋体" w:eastAsia="宋体" w:cs="宋体"/>
          <w:sz w:val="28"/>
          <w:szCs w:val="28"/>
        </w:rPr>
      </w:pPr>
      <w:r>
        <w:rPr>
          <w:rFonts w:hint="eastAsia" w:ascii="宋体" w:hAnsi="宋体" w:eastAsia="宋体" w:cs="宋体"/>
          <w:b/>
          <w:sz w:val="28"/>
          <w:szCs w:val="28"/>
        </w:rPr>
        <w:t>4.4.2</w:t>
      </w:r>
      <w:r>
        <w:rPr>
          <w:rFonts w:hint="eastAsia" w:ascii="宋体" w:hAnsi="宋体" w:eastAsia="宋体" w:cs="宋体"/>
          <w:sz w:val="28"/>
          <w:szCs w:val="28"/>
        </w:rPr>
        <w:t>学校配有培训大楼、学员宿舍和学生食堂，校园宽带 WiFi全覆盖，24 小时热水供应等，生活设施完善。</w:t>
      </w:r>
    </w:p>
    <w:p>
      <w:pPr>
        <w:spacing w:line="360" w:lineRule="auto"/>
        <w:ind w:firstLine="562" w:firstLineChars="200"/>
        <w:rPr>
          <w:rFonts w:hint="eastAsia" w:ascii="宋体" w:hAnsi="宋体" w:eastAsia="宋体" w:cs="宋体"/>
          <w:sz w:val="28"/>
          <w:szCs w:val="28"/>
        </w:rPr>
      </w:pPr>
      <w:r>
        <w:rPr>
          <w:rFonts w:hint="eastAsia" w:ascii="宋体" w:hAnsi="宋体" w:eastAsia="宋体" w:cs="宋体"/>
          <w:b/>
          <w:sz w:val="28"/>
          <w:szCs w:val="28"/>
        </w:rPr>
        <w:t>4.4.3</w:t>
      </w:r>
      <w:r>
        <w:rPr>
          <w:rFonts w:hint="eastAsia" w:ascii="宋体" w:hAnsi="宋体" w:eastAsia="宋体" w:cs="宋体"/>
          <w:sz w:val="28"/>
          <w:szCs w:val="28"/>
        </w:rPr>
        <w:t>学校所有设施，继续教育学生均可使用，另外继续教育学生有专门的学习平台考试，并配备了专用服务器为学员的学习提供了方便。</w:t>
      </w:r>
    </w:p>
    <w:p>
      <w:pPr>
        <w:spacing w:line="360" w:lineRule="auto"/>
        <w:ind w:firstLine="562" w:firstLineChars="200"/>
        <w:outlineLvl w:val="1"/>
        <w:rPr>
          <w:rFonts w:hint="eastAsia" w:ascii="宋体" w:hAnsi="宋体" w:eastAsia="宋体" w:cs="宋体"/>
          <w:b/>
          <w:sz w:val="28"/>
          <w:szCs w:val="28"/>
        </w:rPr>
      </w:pPr>
      <w:bookmarkStart w:id="47" w:name="_Toc13741"/>
      <w:r>
        <w:rPr>
          <w:rFonts w:hint="eastAsia" w:ascii="宋体" w:hAnsi="宋体" w:eastAsia="宋体" w:cs="宋体"/>
          <w:b/>
          <w:sz w:val="28"/>
          <w:szCs w:val="28"/>
        </w:rPr>
        <w:t>4.5合作办学及校外学习中心、教学点建设和管理情况</w:t>
      </w:r>
      <w:bookmarkEnd w:id="47"/>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在日常教学管理中，我们根据学校安排，及时督促学生线上学习，按时完成作业，及时参加考试考核，较好的完成了督学任务，受到了高校和学员的好评。另外，我校暂无</w:t>
      </w:r>
      <w:r>
        <w:rPr>
          <w:rFonts w:hint="eastAsia" w:ascii="宋体" w:hAnsi="宋体" w:eastAsia="宋体" w:cs="宋体"/>
          <w:sz w:val="28"/>
          <w:szCs w:val="28"/>
          <w:lang w:val="en-US" w:eastAsia="zh-CN"/>
        </w:rPr>
        <w:t>校外</w:t>
      </w:r>
      <w:r>
        <w:rPr>
          <w:rFonts w:hint="eastAsia" w:ascii="宋体" w:hAnsi="宋体" w:eastAsia="宋体" w:cs="宋体"/>
          <w:sz w:val="28"/>
          <w:szCs w:val="28"/>
        </w:rPr>
        <w:t>教学点的建设。</w:t>
      </w:r>
      <w:r>
        <w:rPr>
          <w:rFonts w:hint="eastAsia" w:ascii="宋体" w:hAnsi="宋体" w:eastAsia="宋体" w:cs="宋体"/>
          <w:sz w:val="28"/>
          <w:szCs w:val="28"/>
          <w:lang w:val="en-US" w:eastAsia="zh-CN"/>
        </w:rPr>
        <w:t>有合作的站点不进行教学实施，只协助学生教学管理。</w:t>
      </w:r>
    </w:p>
    <w:p>
      <w:pPr>
        <w:spacing w:line="360" w:lineRule="auto"/>
        <w:ind w:firstLine="562" w:firstLineChars="200"/>
        <w:outlineLvl w:val="1"/>
        <w:rPr>
          <w:rFonts w:hint="eastAsia" w:ascii="宋体" w:hAnsi="宋体" w:eastAsia="宋体" w:cs="宋体"/>
          <w:b/>
          <w:sz w:val="28"/>
          <w:szCs w:val="28"/>
        </w:rPr>
      </w:pPr>
      <w:bookmarkStart w:id="48" w:name="_Toc1573"/>
      <w:r>
        <w:rPr>
          <w:rFonts w:hint="eastAsia" w:ascii="宋体" w:hAnsi="宋体" w:eastAsia="宋体" w:cs="宋体"/>
          <w:b/>
          <w:sz w:val="28"/>
          <w:szCs w:val="28"/>
        </w:rPr>
        <w:t>4.6学习支持服务</w:t>
      </w:r>
      <w:bookmarkEnd w:id="48"/>
    </w:p>
    <w:p>
      <w:pPr>
        <w:spacing w:line="360" w:lineRule="auto"/>
        <w:ind w:firstLine="562" w:firstLineChars="200"/>
        <w:outlineLvl w:val="2"/>
        <w:rPr>
          <w:rFonts w:hint="eastAsia" w:ascii="宋体" w:hAnsi="宋体" w:eastAsia="宋体" w:cs="宋体"/>
          <w:b/>
          <w:sz w:val="28"/>
          <w:szCs w:val="28"/>
        </w:rPr>
      </w:pPr>
      <w:bookmarkStart w:id="49" w:name="_Toc20758"/>
      <w:r>
        <w:rPr>
          <w:rFonts w:hint="eastAsia" w:ascii="宋体" w:hAnsi="宋体" w:eastAsia="宋体" w:cs="宋体"/>
          <w:b/>
          <w:sz w:val="28"/>
          <w:szCs w:val="28"/>
        </w:rPr>
        <w:t>4.6.1学习支持服务体系建设</w:t>
      </w:r>
      <w:bookmarkEnd w:id="49"/>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我校制订了一系列继续教育管理制度，从申报专业及招生管理、组织管理、教学督导、学生管理、社会培训、职业技能培训、经费管理等方面做出了明确规定，为学习支持服务提供了制度的保障。同时为了提高学生的学习率，学校引进了成人教育网络学习平台，为学生提供灵活的学习时间和考试机会，并设置了人脸识别系统，以确保学习、考试成绩的真实有效。另外，学校为保障网络学习平台的流畅性，专门为成教学生搭建了可供 1500 人同时在线学习考试的平台服务器，为学习支持服务提供了教学保障。</w:t>
      </w:r>
    </w:p>
    <w:p>
      <w:pPr>
        <w:spacing w:line="360" w:lineRule="auto"/>
        <w:ind w:firstLine="562" w:firstLineChars="200"/>
        <w:outlineLvl w:val="2"/>
        <w:rPr>
          <w:rFonts w:hint="eastAsia" w:ascii="宋体" w:hAnsi="宋体" w:eastAsia="宋体" w:cs="宋体"/>
          <w:b/>
          <w:sz w:val="28"/>
          <w:szCs w:val="28"/>
        </w:rPr>
      </w:pPr>
      <w:bookmarkStart w:id="50" w:name="_Toc15717"/>
      <w:r>
        <w:rPr>
          <w:rFonts w:hint="eastAsia" w:ascii="宋体" w:hAnsi="宋体" w:eastAsia="宋体" w:cs="宋体"/>
          <w:b/>
          <w:sz w:val="28"/>
          <w:szCs w:val="28"/>
        </w:rPr>
        <w:t>4.6.2学习支持服务信息化建设</w:t>
      </w:r>
      <w:bookmarkEnd w:id="50"/>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2022年，因疫情持续，线下课暂停，为保证学生的学习时间，学校利用引进的“尚学课堂”学习平台，实现了线上教学模式的改革，利用引进平台资源组织成教学生进行在线学习、线上课中答疑、课后学习、章节测验和作业提交等。使学生通过信息化手段按时完成学习任务。</w:t>
      </w:r>
    </w:p>
    <w:p>
      <w:pPr>
        <w:spacing w:line="360" w:lineRule="auto"/>
        <w:ind w:firstLine="560" w:firstLineChars="200"/>
        <w:rPr>
          <w:rFonts w:hint="eastAsia" w:ascii="宋体" w:hAnsi="宋体" w:eastAsia="宋体" w:cs="宋体"/>
          <w:sz w:val="28"/>
          <w:szCs w:val="28"/>
        </w:rPr>
      </w:pPr>
    </w:p>
    <w:p>
      <w:pPr>
        <w:spacing w:line="360" w:lineRule="auto"/>
        <w:ind w:firstLine="560" w:firstLineChars="200"/>
        <w:rPr>
          <w:rFonts w:hint="eastAsia" w:ascii="宋体" w:hAnsi="宋体" w:eastAsia="宋体" w:cs="宋体"/>
          <w:sz w:val="28"/>
          <w:szCs w:val="28"/>
        </w:rPr>
      </w:pPr>
    </w:p>
    <w:p>
      <w:pPr>
        <w:spacing w:line="360" w:lineRule="auto"/>
        <w:ind w:firstLine="560" w:firstLineChars="200"/>
        <w:rPr>
          <w:rFonts w:hint="eastAsia" w:ascii="宋体" w:hAnsi="宋体" w:eastAsia="宋体" w:cs="宋体"/>
          <w:sz w:val="28"/>
          <w:szCs w:val="28"/>
        </w:rPr>
      </w:pP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5408" behindDoc="1" locked="0" layoutInCell="1" allowOverlap="1">
            <wp:simplePos x="0" y="0"/>
            <wp:positionH relativeFrom="column">
              <wp:posOffset>-42545</wp:posOffset>
            </wp:positionH>
            <wp:positionV relativeFrom="paragraph">
              <wp:posOffset>-72390</wp:posOffset>
            </wp:positionV>
            <wp:extent cx="5175250" cy="2449830"/>
            <wp:effectExtent l="0" t="0" r="6350" b="7620"/>
            <wp:wrapNone/>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5" cstate="print"/>
                    <a:stretch>
                      <a:fillRect/>
                    </a:stretch>
                  </pic:blipFill>
                  <pic:spPr>
                    <a:xfrm>
                      <a:off x="0" y="0"/>
                      <a:ext cx="5175873" cy="2449830"/>
                    </a:xfrm>
                    <a:prstGeom prst="rect">
                      <a:avLst/>
                    </a:prstGeom>
                  </pic:spPr>
                </pic:pic>
              </a:graphicData>
            </a:graphic>
          </wp:anchor>
        </w:drawing>
      </w:r>
    </w:p>
    <w:p>
      <w:pPr>
        <w:spacing w:line="360" w:lineRule="auto"/>
        <w:ind w:firstLine="560" w:firstLineChars="200"/>
        <w:rPr>
          <w:rFonts w:hint="eastAsia" w:ascii="宋体" w:hAnsi="宋体" w:eastAsia="宋体" w:cs="宋体"/>
          <w:sz w:val="28"/>
          <w:szCs w:val="28"/>
        </w:rPr>
      </w:pPr>
    </w:p>
    <w:p>
      <w:pPr>
        <w:pStyle w:val="2"/>
        <w:rPr>
          <w:rFonts w:hint="eastAsia" w:ascii="宋体" w:hAnsi="宋体" w:eastAsia="宋体" w:cs="宋体"/>
          <w:sz w:val="28"/>
          <w:szCs w:val="28"/>
        </w:rPr>
      </w:pPr>
    </w:p>
    <w:p>
      <w:pPr>
        <w:pStyle w:val="2"/>
        <w:rPr>
          <w:rFonts w:hint="eastAsia" w:ascii="宋体" w:hAnsi="宋体" w:eastAsia="宋体" w:cs="宋体"/>
          <w:sz w:val="28"/>
          <w:szCs w:val="28"/>
        </w:rPr>
      </w:pPr>
    </w:p>
    <w:p>
      <w:pPr>
        <w:pStyle w:val="2"/>
        <w:rPr>
          <w:rFonts w:hint="eastAsia" w:ascii="宋体" w:hAnsi="宋体" w:eastAsia="宋体" w:cs="宋体"/>
          <w:sz w:val="28"/>
          <w:szCs w:val="28"/>
        </w:rPr>
      </w:pPr>
    </w:p>
    <w:p>
      <w:pPr>
        <w:jc w:val="both"/>
        <w:rPr>
          <w:rFonts w:hint="eastAsia" w:ascii="宋体" w:hAnsi="宋体" w:eastAsia="宋体" w:cs="宋体"/>
          <w:b/>
          <w:bCs/>
          <w:sz w:val="24"/>
          <w:szCs w:val="24"/>
        </w:rPr>
      </w:pPr>
    </w:p>
    <w:p>
      <w:pPr>
        <w:ind w:firstLine="1687" w:firstLineChars="700"/>
        <w:jc w:val="both"/>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ind w:firstLine="1687" w:firstLineChars="700"/>
        <w:jc w:val="both"/>
        <w:textAlignment w:val="auto"/>
        <w:outlineLvl w:val="9"/>
        <w:rPr>
          <w:rFonts w:hint="eastAsia" w:ascii="宋体" w:hAnsi="宋体" w:eastAsia="宋体" w:cs="宋体"/>
          <w:b/>
          <w:bCs/>
          <w:szCs w:val="21"/>
        </w:rPr>
      </w:pPr>
      <w:r>
        <w:rPr>
          <w:rFonts w:hint="eastAsia" w:ascii="宋体" w:hAnsi="宋体" w:eastAsia="宋体" w:cs="宋体"/>
          <w:b/>
          <w:bCs/>
          <w:sz w:val="24"/>
          <w:szCs w:val="24"/>
        </w:rPr>
        <w:t>湖南外贸职业学院学习平台（数</w:t>
      </w:r>
      <w:r>
        <w:rPr>
          <w:rFonts w:hint="eastAsia" w:ascii="宋体" w:hAnsi="宋体" w:eastAsia="宋体" w:cs="宋体"/>
          <w:b/>
          <w:bCs/>
          <w:sz w:val="24"/>
          <w:szCs w:val="24"/>
          <w:lang w:eastAsia="zh-CN"/>
        </w:rPr>
        <w:t>据</w:t>
      </w:r>
      <w:r>
        <w:rPr>
          <w:rFonts w:hint="eastAsia" w:ascii="宋体" w:hAnsi="宋体" w:eastAsia="宋体" w:cs="宋体"/>
          <w:b/>
          <w:bCs/>
          <w:sz w:val="24"/>
          <w:szCs w:val="24"/>
        </w:rPr>
        <w:t>来源：培训中心）</w:t>
      </w:r>
    </w:p>
    <w:p>
      <w:pPr>
        <w:ind w:firstLine="562" w:firstLineChars="200"/>
        <w:outlineLvl w:val="1"/>
        <w:rPr>
          <w:rFonts w:hint="eastAsia" w:ascii="宋体" w:hAnsi="宋体" w:eastAsia="宋体" w:cs="宋体"/>
          <w:b/>
          <w:sz w:val="28"/>
          <w:szCs w:val="28"/>
        </w:rPr>
      </w:pPr>
      <w:bookmarkStart w:id="51" w:name="_Toc19081"/>
      <w:r>
        <w:rPr>
          <w:rFonts w:hint="eastAsia" w:ascii="宋体" w:hAnsi="宋体" w:eastAsia="宋体" w:cs="宋体"/>
          <w:b/>
          <w:sz w:val="28"/>
          <w:szCs w:val="28"/>
        </w:rPr>
        <w:t>4.7内部质量管理</w:t>
      </w:r>
      <w:bookmarkEnd w:id="51"/>
    </w:p>
    <w:p>
      <w:pPr>
        <w:ind w:firstLine="562" w:firstLineChars="200"/>
        <w:outlineLvl w:val="2"/>
        <w:rPr>
          <w:rFonts w:hint="eastAsia" w:ascii="宋体" w:hAnsi="宋体" w:eastAsia="宋体" w:cs="宋体"/>
          <w:b/>
          <w:sz w:val="28"/>
          <w:szCs w:val="28"/>
        </w:rPr>
      </w:pPr>
      <w:bookmarkStart w:id="52" w:name="_Toc16537"/>
      <w:r>
        <w:rPr>
          <w:rFonts w:hint="eastAsia" w:ascii="宋体" w:hAnsi="宋体" w:eastAsia="宋体" w:cs="宋体"/>
          <w:b/>
          <w:sz w:val="28"/>
          <w:szCs w:val="28"/>
        </w:rPr>
        <w:t>4.7.1教学组织</w:t>
      </w:r>
      <w:bookmarkEnd w:id="52"/>
    </w:p>
    <w:p>
      <w:pPr>
        <w:ind w:firstLine="560" w:firstLineChars="200"/>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6432" behindDoc="0" locked="0" layoutInCell="1" allowOverlap="1">
            <wp:simplePos x="0" y="0"/>
            <wp:positionH relativeFrom="column">
              <wp:posOffset>151130</wp:posOffset>
            </wp:positionH>
            <wp:positionV relativeFrom="paragraph">
              <wp:posOffset>2738755</wp:posOffset>
            </wp:positionV>
            <wp:extent cx="4924425" cy="2090420"/>
            <wp:effectExtent l="0" t="0" r="9525" b="5080"/>
            <wp:wrapNone/>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6" cstate="print"/>
                    <a:stretch>
                      <a:fillRect/>
                    </a:stretch>
                  </pic:blipFill>
                  <pic:spPr>
                    <a:xfrm>
                      <a:off x="0" y="0"/>
                      <a:ext cx="4924425" cy="2090420"/>
                    </a:xfrm>
                    <a:prstGeom prst="rect">
                      <a:avLst/>
                    </a:prstGeom>
                  </pic:spPr>
                </pic:pic>
              </a:graphicData>
            </a:graphic>
          </wp:anchor>
        </w:drawing>
      </w:r>
      <w:r>
        <w:rPr>
          <w:rFonts w:hint="eastAsia" w:ascii="宋体" w:hAnsi="宋体" w:eastAsia="宋体" w:cs="宋体"/>
          <w:sz w:val="28"/>
          <w:szCs w:val="28"/>
        </w:rPr>
        <w:t>为规范继续教育管理，完善教学过程，我校加强了继续教育教学管理及教学组织，特别在 2022年的疫情期间，逐步改进了课堂教学模式，积极支持教师建设在线特色课程，重组课程模块，精心设计课程内容，涉及拓展课程，并将用于我校优秀教师制作的全日制教学的线上精品课程与成人继续教育学院共享，同时引进课程教学平台，充分运用信息化手段加强线上教学，引进和建设在线教学资源，着力打造了一批具有“外”字特色的在线课程资源。</w:t>
      </w:r>
    </w:p>
    <w:p>
      <w:pPr>
        <w:pStyle w:val="2"/>
        <w:ind w:left="0" w:leftChars="0" w:firstLine="0" w:firstLineChars="0"/>
        <w:rPr>
          <w:rFonts w:hint="eastAsia" w:ascii="宋体" w:hAnsi="宋体" w:eastAsia="宋体" w:cs="宋体"/>
          <w:sz w:val="28"/>
          <w:szCs w:val="28"/>
        </w:rPr>
      </w:pPr>
    </w:p>
    <w:p>
      <w:pPr>
        <w:pStyle w:val="2"/>
        <w:rPr>
          <w:rFonts w:hint="eastAsia" w:ascii="宋体" w:hAnsi="宋体" w:eastAsia="宋体" w:cs="宋体"/>
          <w:sz w:val="28"/>
          <w:szCs w:val="28"/>
        </w:rPr>
      </w:pPr>
    </w:p>
    <w:p>
      <w:pPr>
        <w:pStyle w:val="2"/>
        <w:rPr>
          <w:rFonts w:hint="eastAsia" w:ascii="宋体" w:hAnsi="宋体" w:eastAsia="宋体" w:cs="宋体"/>
          <w:sz w:val="28"/>
          <w:szCs w:val="28"/>
        </w:rPr>
      </w:pPr>
    </w:p>
    <w:p>
      <w:pPr>
        <w:pStyle w:val="2"/>
        <w:rPr>
          <w:rFonts w:hint="eastAsia" w:ascii="宋体" w:hAnsi="宋体" w:eastAsia="宋体" w:cs="宋体"/>
        </w:rPr>
      </w:pPr>
    </w:p>
    <w:p>
      <w:pPr>
        <w:rPr>
          <w:rFonts w:hint="eastAsia" w:ascii="宋体" w:hAnsi="宋体" w:eastAsia="宋体" w:cs="宋体"/>
          <w:sz w:val="28"/>
          <w:szCs w:val="28"/>
        </w:rPr>
      </w:pPr>
    </w:p>
    <w:p>
      <w:pPr>
        <w:jc w:val="center"/>
        <w:rPr>
          <w:rFonts w:hint="eastAsia" w:ascii="宋体" w:hAnsi="宋体" w:eastAsia="宋体" w:cs="宋体"/>
          <w:b/>
          <w:bCs/>
          <w:sz w:val="24"/>
          <w:szCs w:val="24"/>
        </w:rPr>
      </w:pPr>
      <w:r>
        <w:rPr>
          <w:rFonts w:hint="eastAsia" w:ascii="宋体" w:hAnsi="宋体" w:eastAsia="宋体" w:cs="宋体"/>
          <w:b/>
          <w:bCs/>
          <w:sz w:val="24"/>
          <w:szCs w:val="24"/>
        </w:rPr>
        <w:t>Java 应用程序开发进阶（数</w:t>
      </w:r>
      <w:r>
        <w:rPr>
          <w:rFonts w:hint="eastAsia" w:ascii="宋体" w:hAnsi="宋体" w:eastAsia="宋体" w:cs="宋体"/>
          <w:b/>
          <w:bCs/>
          <w:sz w:val="24"/>
          <w:szCs w:val="24"/>
          <w:lang w:eastAsia="zh-CN"/>
        </w:rPr>
        <w:t>据</w:t>
      </w:r>
      <w:r>
        <w:rPr>
          <w:rFonts w:hint="eastAsia" w:ascii="宋体" w:hAnsi="宋体" w:eastAsia="宋体" w:cs="宋体"/>
          <w:b/>
          <w:bCs/>
          <w:sz w:val="24"/>
          <w:szCs w:val="24"/>
        </w:rPr>
        <w:t>来源：培训中心）</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7456" behindDoc="0" locked="0" layoutInCell="1" allowOverlap="1">
            <wp:simplePos x="0" y="0"/>
            <wp:positionH relativeFrom="column">
              <wp:posOffset>254000</wp:posOffset>
            </wp:positionH>
            <wp:positionV relativeFrom="paragraph">
              <wp:posOffset>1270</wp:posOffset>
            </wp:positionV>
            <wp:extent cx="5054600" cy="2880360"/>
            <wp:effectExtent l="19050" t="0" r="0" b="0"/>
            <wp:wrapNone/>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7" cstate="print"/>
                    <a:stretch>
                      <a:fillRect/>
                    </a:stretch>
                  </pic:blipFill>
                  <pic:spPr>
                    <a:xfrm>
                      <a:off x="0" y="0"/>
                      <a:ext cx="5058920" cy="2882900"/>
                    </a:xfrm>
                    <a:prstGeom prst="rect">
                      <a:avLst/>
                    </a:prstGeom>
                  </pic:spPr>
                </pic:pic>
              </a:graphicData>
            </a:graphic>
          </wp:anchor>
        </w:drawing>
      </w:r>
    </w:p>
    <w:p>
      <w:pPr>
        <w:ind w:firstLine="560" w:firstLineChars="200"/>
        <w:rPr>
          <w:rFonts w:hint="eastAsia" w:ascii="宋体" w:hAnsi="宋体" w:eastAsia="宋体" w:cs="宋体"/>
          <w:sz w:val="28"/>
          <w:szCs w:val="28"/>
        </w:rPr>
      </w:pPr>
    </w:p>
    <w:p>
      <w:pPr>
        <w:ind w:firstLine="560" w:firstLineChars="200"/>
        <w:rPr>
          <w:rFonts w:hint="eastAsia" w:ascii="宋体" w:hAnsi="宋体" w:eastAsia="宋体" w:cs="宋体"/>
          <w:sz w:val="28"/>
          <w:szCs w:val="28"/>
        </w:rPr>
      </w:pPr>
    </w:p>
    <w:p>
      <w:pPr>
        <w:pStyle w:val="2"/>
        <w:rPr>
          <w:rFonts w:hint="eastAsia" w:ascii="宋体" w:hAnsi="宋体" w:eastAsia="宋体" w:cs="宋体"/>
          <w:sz w:val="28"/>
          <w:szCs w:val="28"/>
        </w:rPr>
      </w:pPr>
    </w:p>
    <w:p>
      <w:pPr>
        <w:pStyle w:val="2"/>
        <w:rPr>
          <w:rFonts w:hint="eastAsia" w:ascii="宋体" w:hAnsi="宋体" w:eastAsia="宋体" w:cs="宋体"/>
          <w:sz w:val="28"/>
          <w:szCs w:val="28"/>
        </w:rPr>
      </w:pPr>
    </w:p>
    <w:p>
      <w:pPr>
        <w:pStyle w:val="2"/>
        <w:rPr>
          <w:rFonts w:hint="eastAsia" w:ascii="宋体" w:hAnsi="宋体" w:eastAsia="宋体" w:cs="宋体"/>
          <w:sz w:val="28"/>
          <w:szCs w:val="28"/>
        </w:rPr>
      </w:pPr>
    </w:p>
    <w:p>
      <w:pPr>
        <w:ind w:firstLine="560" w:firstLineChars="200"/>
        <w:rPr>
          <w:rFonts w:hint="eastAsia" w:ascii="宋体" w:hAnsi="宋体" w:eastAsia="宋体" w:cs="宋体"/>
          <w:sz w:val="28"/>
          <w:szCs w:val="28"/>
        </w:rPr>
      </w:pPr>
    </w:p>
    <w:p>
      <w:pPr>
        <w:ind w:firstLine="964" w:firstLineChars="400"/>
        <w:jc w:val="both"/>
        <w:rPr>
          <w:rFonts w:hint="eastAsia" w:ascii="宋体" w:hAnsi="宋体" w:eastAsia="宋体" w:cs="宋体"/>
          <w:b/>
          <w:bCs/>
          <w:sz w:val="24"/>
          <w:szCs w:val="24"/>
        </w:rPr>
      </w:pPr>
      <w:r>
        <w:rPr>
          <w:rFonts w:hint="eastAsia" w:ascii="宋体" w:hAnsi="宋体" w:eastAsia="宋体" w:cs="宋体"/>
          <w:b/>
          <w:bCs/>
          <w:sz w:val="24"/>
          <w:szCs w:val="24"/>
        </w:rPr>
        <w:t>跨境电商平台操作综合实训（数</w:t>
      </w:r>
      <w:r>
        <w:rPr>
          <w:rFonts w:hint="eastAsia" w:ascii="宋体" w:hAnsi="宋体" w:eastAsia="宋体" w:cs="宋体"/>
          <w:b/>
          <w:bCs/>
          <w:sz w:val="24"/>
          <w:szCs w:val="24"/>
          <w:lang w:eastAsia="zh-CN"/>
        </w:rPr>
        <w:t>据</w:t>
      </w:r>
      <w:r>
        <w:rPr>
          <w:rFonts w:hint="eastAsia" w:ascii="宋体" w:hAnsi="宋体" w:eastAsia="宋体" w:cs="宋体"/>
          <w:b/>
          <w:bCs/>
          <w:sz w:val="24"/>
          <w:szCs w:val="24"/>
        </w:rPr>
        <w:t>来源：培训中心）</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教务人员通过学习管理平台，不间断的了解和掌握学员学习动</w:t>
      </w:r>
      <w:r>
        <w:rPr>
          <w:rFonts w:hint="eastAsia" w:ascii="宋体" w:hAnsi="宋体" w:eastAsia="宋体" w:cs="宋体"/>
          <w:sz w:val="28"/>
          <w:szCs w:val="28"/>
          <w:lang w:val="en-US" w:eastAsia="zh-CN"/>
        </w:rPr>
        <w:t>态，</w:t>
      </w:r>
    </w:p>
    <w:p>
      <w:pPr>
        <w:rPr>
          <w:rFonts w:hint="eastAsia" w:ascii="宋体" w:hAnsi="宋体" w:eastAsia="宋体" w:cs="宋体"/>
          <w:sz w:val="28"/>
          <w:szCs w:val="28"/>
        </w:rPr>
      </w:pPr>
      <w:r>
        <w:rPr>
          <w:rFonts w:hint="eastAsia" w:ascii="宋体" w:hAnsi="宋体" w:eastAsia="宋体" w:cs="宋体"/>
          <w:sz w:val="28"/>
          <w:szCs w:val="28"/>
        </w:rPr>
        <w:t>及时督促学员上网学习，按时按章节完成作业练习。学员完成了教学过程的学习后，方可进行考试考核及毕业论文、毕业实习等环节。所有科目完成之后，才能顺利毕业。2022年受疫情影响，各高校毕业答辩和毕业设计均在线上完成，完成效果良好。</w:t>
      </w:r>
    </w:p>
    <w:p>
      <w:pPr>
        <w:ind w:firstLine="562" w:firstLineChars="200"/>
        <w:outlineLvl w:val="2"/>
        <w:rPr>
          <w:rFonts w:hint="eastAsia" w:ascii="宋体" w:hAnsi="宋体" w:eastAsia="宋体" w:cs="宋体"/>
          <w:b/>
          <w:sz w:val="28"/>
          <w:szCs w:val="28"/>
        </w:rPr>
      </w:pPr>
      <w:bookmarkStart w:id="53" w:name="_Toc2785"/>
      <w:r>
        <w:rPr>
          <w:rFonts w:hint="eastAsia" w:ascii="宋体" w:hAnsi="宋体" w:eastAsia="宋体" w:cs="宋体"/>
          <w:b/>
          <w:sz w:val="28"/>
          <w:szCs w:val="28"/>
        </w:rPr>
        <w:t>4.7.2学生（学员）管理</w:t>
      </w:r>
      <w:bookmarkEnd w:id="53"/>
    </w:p>
    <w:p>
      <w:pPr>
        <w:ind w:firstLine="560" w:firstLineChars="200"/>
        <w:rPr>
          <w:rFonts w:hint="eastAsia" w:ascii="宋体" w:hAnsi="宋体" w:eastAsia="宋体" w:cs="宋体"/>
          <w:sz w:val="28"/>
          <w:szCs w:val="28"/>
        </w:rPr>
      </w:pPr>
      <w:r>
        <w:rPr>
          <w:rFonts w:hint="eastAsia" w:ascii="宋体" w:hAnsi="宋体" w:eastAsia="宋体" w:cs="宋体"/>
          <w:sz w:val="28"/>
          <w:szCs w:val="28"/>
        </w:rPr>
        <w:t>2022年，我校在招生过程中，严格按照教育管理部门的要求规范招生，一是</w:t>
      </w:r>
      <w:r>
        <w:rPr>
          <w:rFonts w:hint="eastAsia" w:ascii="宋体" w:hAnsi="宋体" w:eastAsia="宋体" w:cs="宋体"/>
          <w:sz w:val="28"/>
          <w:szCs w:val="28"/>
          <w:lang w:val="en-US" w:eastAsia="zh-CN"/>
        </w:rPr>
        <w:t>招生管理规范，</w:t>
      </w:r>
      <w:r>
        <w:rPr>
          <w:rFonts w:hint="eastAsia" w:ascii="宋体" w:hAnsi="宋体" w:eastAsia="宋体" w:cs="宋体"/>
          <w:sz w:val="28"/>
          <w:szCs w:val="28"/>
        </w:rPr>
        <w:t>及时在官网上公布教育部批准我校的招生专业，并严禁任何单位以我校名义在网络上公布招生广告，从未私发招生广告或在网络上宣传招生，并主动接受各高校的监督，受到了好评</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二是教学管理规范有序，严格按照人才培养方案开展教学，</w:t>
      </w:r>
      <w:r>
        <w:rPr>
          <w:rFonts w:hint="eastAsia" w:ascii="宋体" w:hAnsi="宋体" w:eastAsia="宋体" w:cs="宋体"/>
          <w:sz w:val="28"/>
          <w:szCs w:val="28"/>
        </w:rPr>
        <w:t>派遣责任心强、具有管理能力、能热心为学员服务的教务管理人员和辅导人员（班主任）为学员服务。一方面为学员教学辅导，督促学生学习；另一方面，为学员学习排忧解难，负责学员的学籍和日常管理。</w:t>
      </w:r>
      <w:r>
        <w:rPr>
          <w:rFonts w:hint="eastAsia" w:ascii="宋体" w:hAnsi="宋体" w:eastAsia="宋体" w:cs="宋体"/>
          <w:sz w:val="28"/>
          <w:szCs w:val="28"/>
          <w:lang w:val="en-US" w:eastAsia="zh-CN"/>
        </w:rPr>
        <w:t>三是考试管理严格到位，</w:t>
      </w:r>
      <w:r>
        <w:rPr>
          <w:rFonts w:hint="eastAsia" w:ascii="宋体" w:hAnsi="宋体" w:eastAsia="宋体" w:cs="宋体"/>
          <w:sz w:val="28"/>
          <w:szCs w:val="28"/>
        </w:rPr>
        <w:t>严格执行教育部和</w:t>
      </w:r>
      <w:r>
        <w:rPr>
          <w:rFonts w:hint="eastAsia" w:ascii="宋体" w:hAnsi="宋体" w:eastAsia="宋体" w:cs="宋体"/>
          <w:sz w:val="28"/>
          <w:szCs w:val="28"/>
          <w:lang w:val="en-US" w:eastAsia="zh-CN"/>
        </w:rPr>
        <w:t>教育厅的文件要求</w:t>
      </w:r>
      <w:r>
        <w:rPr>
          <w:rFonts w:hint="eastAsia" w:ascii="宋体" w:hAnsi="宋体" w:eastAsia="宋体" w:cs="宋体"/>
          <w:sz w:val="28"/>
          <w:szCs w:val="28"/>
        </w:rPr>
        <w:t>，凡学科未完成学习考试的均不予办理毕业证。同时，为了保证学习质量，我们也严格毕业论文的指导和答辩，所有论文均要检查查重报告。因疫情原因，我们组织多场论文线上一对一的答辩，凡未参加者均不记以成绩，较好的保证了教学质量。</w:t>
      </w:r>
    </w:p>
    <w:p>
      <w:pPr>
        <w:ind w:firstLine="562" w:firstLineChars="200"/>
        <w:outlineLvl w:val="2"/>
        <w:rPr>
          <w:rFonts w:hint="eastAsia" w:ascii="宋体" w:hAnsi="宋体" w:eastAsia="宋体" w:cs="宋体"/>
          <w:b/>
          <w:sz w:val="28"/>
          <w:szCs w:val="28"/>
        </w:rPr>
      </w:pPr>
      <w:bookmarkStart w:id="54" w:name="_Toc22474"/>
      <w:r>
        <w:rPr>
          <w:rFonts w:hint="eastAsia" w:ascii="宋体" w:hAnsi="宋体" w:eastAsia="宋体" w:cs="宋体"/>
          <w:b/>
          <w:sz w:val="28"/>
          <w:szCs w:val="28"/>
        </w:rPr>
        <w:t>4.7.3师资管理</w:t>
      </w:r>
      <w:bookmarkEnd w:id="54"/>
    </w:p>
    <w:p>
      <w:pPr>
        <w:ind w:firstLine="560" w:firstLineChars="200"/>
        <w:rPr>
          <w:rFonts w:hint="eastAsia" w:ascii="宋体" w:hAnsi="宋体" w:eastAsia="宋体" w:cs="宋体"/>
          <w:sz w:val="28"/>
          <w:szCs w:val="28"/>
        </w:rPr>
      </w:pPr>
      <w:r>
        <w:rPr>
          <w:rFonts w:hint="eastAsia" w:ascii="宋体" w:hAnsi="宋体" w:eastAsia="宋体" w:cs="宋体"/>
          <w:sz w:val="28"/>
          <w:szCs w:val="28"/>
        </w:rPr>
        <w:t>学历继续教育的师资由培训中心统筹，并根据教学计划安排派遣责任心强，教学经验丰富，校内讲师职称以上、副教授为主的的校内教师承担成人继续教育的教学任务。</w:t>
      </w:r>
      <w:r>
        <w:rPr>
          <w:rFonts w:hint="eastAsia" w:ascii="宋体" w:hAnsi="宋体" w:eastAsia="宋体" w:cs="宋体"/>
          <w:sz w:val="28"/>
          <w:szCs w:val="28"/>
          <w:lang w:val="en-US" w:eastAsia="zh-CN"/>
        </w:rPr>
        <w:t>同时</w:t>
      </w:r>
      <w:r>
        <w:rPr>
          <w:rFonts w:hint="eastAsia" w:ascii="宋体" w:hAnsi="宋体" w:eastAsia="宋体" w:cs="宋体"/>
          <w:sz w:val="28"/>
          <w:szCs w:val="28"/>
        </w:rPr>
        <w:t>，也引进了部分双一流高校优质教师的部分课程，教学内容丰富，教学水平较高。对在教学过程中学员反映较差的教师我们予以及时的更换，以确保教学质量。</w:t>
      </w:r>
    </w:p>
    <w:p>
      <w:pPr>
        <w:ind w:firstLine="562" w:firstLineChars="200"/>
        <w:outlineLvl w:val="1"/>
        <w:rPr>
          <w:rFonts w:hint="eastAsia" w:ascii="宋体" w:hAnsi="宋体" w:eastAsia="宋体" w:cs="宋体"/>
          <w:b/>
          <w:sz w:val="28"/>
          <w:szCs w:val="28"/>
        </w:rPr>
      </w:pPr>
      <w:bookmarkStart w:id="55" w:name="_Toc6719"/>
      <w:r>
        <w:rPr>
          <w:rFonts w:hint="eastAsia" w:ascii="宋体" w:hAnsi="宋体" w:eastAsia="宋体" w:cs="宋体"/>
          <w:b/>
          <w:sz w:val="28"/>
          <w:szCs w:val="28"/>
        </w:rPr>
        <w:t>4.8外部质量评估</w:t>
      </w:r>
      <w:bookmarkEnd w:id="55"/>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近几年省教育厅、市教育局和各高校的教学质量评估检查中，顺利通过教学质量评估，为办学合格单位。2022年我校“送培到校、精准培训”项目被邵阳工业学校和邵阳邵阳创业科技学校参培学员评为教学质量优秀等级。</w:t>
      </w:r>
    </w:p>
    <w:p>
      <w:pPr>
        <w:pStyle w:val="2"/>
        <w:keepNext w:val="0"/>
        <w:keepLines w:val="0"/>
        <w:pageBreakBefore w:val="0"/>
        <w:widowControl w:val="0"/>
        <w:kinsoku/>
        <w:wordWrap/>
        <w:overflowPunct/>
        <w:topLinePunct w:val="0"/>
        <w:autoSpaceDE/>
        <w:autoSpaceDN/>
        <w:bidi w:val="0"/>
        <w:adjustRightInd/>
        <w:snapToGrid/>
        <w:ind w:left="0" w:leftChars="0" w:firstLine="562" w:firstLineChars="200"/>
        <w:textAlignment w:val="auto"/>
        <w:outlineLvl w:val="1"/>
        <w:rPr>
          <w:rFonts w:hint="eastAsia" w:ascii="宋体" w:hAnsi="宋体" w:eastAsia="宋体" w:cs="宋体"/>
          <w:b/>
          <w:sz w:val="28"/>
          <w:szCs w:val="28"/>
        </w:rPr>
      </w:pPr>
      <w:bookmarkStart w:id="56" w:name="_Toc4612"/>
      <w:r>
        <w:rPr>
          <w:rFonts w:hint="eastAsia" w:ascii="宋体" w:hAnsi="宋体" w:eastAsia="宋体" w:cs="宋体"/>
          <w:b/>
          <w:sz w:val="28"/>
          <w:szCs w:val="28"/>
        </w:rPr>
        <w:t>4.9 信息化建设</w:t>
      </w:r>
      <w:bookmarkEnd w:id="56"/>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2"/>
        <w:rPr>
          <w:rFonts w:hint="eastAsia" w:ascii="宋体" w:hAnsi="宋体" w:eastAsia="宋体" w:cs="宋体"/>
          <w:b/>
          <w:sz w:val="28"/>
          <w:szCs w:val="28"/>
        </w:rPr>
      </w:pPr>
      <w:bookmarkStart w:id="57" w:name="_Toc32058"/>
      <w:r>
        <w:rPr>
          <w:rFonts w:hint="eastAsia" w:ascii="宋体" w:hAnsi="宋体" w:eastAsia="宋体" w:cs="宋体"/>
          <w:b/>
          <w:sz w:val="28"/>
          <w:szCs w:val="28"/>
        </w:rPr>
        <w:t>4.9.1教学信息化建设</w:t>
      </w:r>
      <w:bookmarkEnd w:id="57"/>
    </w:p>
    <w:p>
      <w:pPr>
        <w:ind w:firstLine="560" w:firstLineChars="200"/>
        <w:rPr>
          <w:rFonts w:hint="eastAsia" w:ascii="宋体" w:hAnsi="宋体" w:eastAsia="宋体" w:cs="宋体"/>
          <w:sz w:val="28"/>
          <w:szCs w:val="28"/>
        </w:rPr>
      </w:pPr>
      <w:r>
        <w:rPr>
          <w:rFonts w:hint="eastAsia" w:ascii="宋体" w:hAnsi="宋体" w:eastAsia="宋体" w:cs="宋体"/>
          <w:sz w:val="28"/>
          <w:szCs w:val="28"/>
        </w:rPr>
        <w:t>学校继续教育坚持以提高在职从业人员知识、能力、素质为目标，突出职业性、针对性、开放性的特点，积极打造网络资源共享平台，充分利用现代信息技术手段。根据成人教育的不同需求，引入“尚学课堂”网络课程资源，学员基本能够实现大部分课程的网络化学习，方便学员打破时间和空间的界限，顺利完成各学科的学习和实践。</w:t>
      </w:r>
    </w:p>
    <w:p>
      <w:pPr>
        <w:ind w:firstLine="562" w:firstLineChars="200"/>
        <w:outlineLvl w:val="2"/>
        <w:rPr>
          <w:rFonts w:hint="eastAsia" w:ascii="宋体" w:hAnsi="宋体" w:eastAsia="宋体" w:cs="宋体"/>
          <w:b/>
          <w:sz w:val="28"/>
          <w:szCs w:val="28"/>
        </w:rPr>
      </w:pPr>
      <w:bookmarkStart w:id="58" w:name="_Toc21557"/>
      <w:r>
        <w:rPr>
          <w:rFonts w:hint="eastAsia" w:ascii="宋体" w:hAnsi="宋体" w:eastAsia="宋体" w:cs="宋体"/>
          <w:b/>
          <w:sz w:val="28"/>
          <w:szCs w:val="28"/>
        </w:rPr>
        <w:t>4.9.2管理信息化建设</w:t>
      </w:r>
      <w:bookmarkEnd w:id="58"/>
    </w:p>
    <w:p>
      <w:pPr>
        <w:ind w:firstLine="560" w:firstLineChars="200"/>
        <w:rPr>
          <w:rFonts w:hint="eastAsia" w:ascii="宋体" w:hAnsi="宋体" w:eastAsia="宋体" w:cs="宋体"/>
          <w:sz w:val="28"/>
          <w:szCs w:val="28"/>
        </w:rPr>
      </w:pPr>
      <w:r>
        <w:rPr>
          <w:rFonts w:hint="eastAsia" w:ascii="宋体" w:hAnsi="宋体" w:eastAsia="宋体" w:cs="宋体"/>
          <w:sz w:val="28"/>
          <w:szCs w:val="28"/>
        </w:rPr>
        <w:t>为提升管理效率，针对管理需求，我校建立健全了信息化管理系统，从招生、缴费、教学、学籍档案的建立和完善、考核等方面进行信息整合，极大的提高了管理效率。同时建立了班级 QQ 群或微信群，</w:t>
      </w:r>
    </w:p>
    <w:p>
      <w:pPr>
        <w:rPr>
          <w:rFonts w:hint="eastAsia" w:ascii="宋体" w:hAnsi="宋体" w:eastAsia="宋体" w:cs="宋体"/>
          <w:sz w:val="28"/>
          <w:szCs w:val="28"/>
        </w:rPr>
      </w:pPr>
      <w:r>
        <w:rPr>
          <w:rFonts w:hint="eastAsia" w:ascii="宋体" w:hAnsi="宋体" w:eastAsia="宋体" w:cs="宋体"/>
          <w:sz w:val="28"/>
          <w:szCs w:val="28"/>
        </w:rPr>
        <w:t>便于老师与学员之间、学员与学员之间的沟通和交流，方便了师生之间的联系和沟通。</w:t>
      </w:r>
    </w:p>
    <w:p>
      <w:pPr>
        <w:ind w:firstLine="562" w:firstLineChars="200"/>
        <w:outlineLvl w:val="2"/>
        <w:rPr>
          <w:rFonts w:hint="eastAsia" w:ascii="宋体" w:hAnsi="宋体" w:eastAsia="宋体" w:cs="宋体"/>
          <w:b/>
          <w:sz w:val="28"/>
          <w:szCs w:val="28"/>
        </w:rPr>
      </w:pPr>
      <w:bookmarkStart w:id="59" w:name="_Toc5340"/>
      <w:r>
        <w:rPr>
          <w:rFonts w:hint="eastAsia" w:ascii="宋体" w:hAnsi="宋体" w:eastAsia="宋体" w:cs="宋体"/>
          <w:b/>
          <w:sz w:val="28"/>
          <w:szCs w:val="28"/>
        </w:rPr>
        <w:t>4.9.3服务信息化建设</w:t>
      </w:r>
      <w:bookmarkEnd w:id="59"/>
    </w:p>
    <w:p>
      <w:pPr>
        <w:ind w:firstLine="560" w:firstLineChars="200"/>
        <w:rPr>
          <w:rFonts w:hint="eastAsia" w:ascii="宋体" w:hAnsi="宋体" w:eastAsia="宋体" w:cs="宋体"/>
          <w:sz w:val="28"/>
          <w:szCs w:val="28"/>
        </w:rPr>
      </w:pPr>
      <w:r>
        <w:rPr>
          <w:rFonts w:hint="eastAsia" w:ascii="宋体" w:hAnsi="宋体" w:eastAsia="宋体" w:cs="宋体"/>
          <w:sz w:val="28"/>
          <w:szCs w:val="28"/>
        </w:rPr>
        <w:t>我校成人继续教育学习平台因硬、软件设备较为落后，且更新不及时，学员在学习考试期间经常被卡或掉线，给学员造成了困扰。为此，学校为保障网络学习平台的流畅性，2022年专门为成人学历继续教育搭建了可供 1500 人同时在线学习的平台服务器，并配备专人管理，全天开放学习平台，提高了学员在线学习的质量和效率，受到了学员的认可。</w:t>
      </w:r>
    </w:p>
    <w:p>
      <w:pPr>
        <w:ind w:firstLine="562" w:firstLineChars="200"/>
        <w:outlineLvl w:val="1"/>
        <w:rPr>
          <w:rFonts w:hint="eastAsia" w:ascii="宋体" w:hAnsi="宋体" w:eastAsia="宋体" w:cs="宋体"/>
          <w:b/>
          <w:sz w:val="28"/>
          <w:szCs w:val="28"/>
        </w:rPr>
      </w:pPr>
      <w:bookmarkStart w:id="60" w:name="_Toc5070"/>
      <w:r>
        <w:rPr>
          <w:rFonts w:hint="eastAsia" w:ascii="宋体" w:hAnsi="宋体" w:eastAsia="宋体" w:cs="宋体"/>
          <w:b/>
          <w:sz w:val="28"/>
          <w:szCs w:val="28"/>
        </w:rPr>
        <w:t>4.10经费保障</w:t>
      </w:r>
      <w:bookmarkEnd w:id="60"/>
    </w:p>
    <w:p>
      <w:pPr>
        <w:ind w:firstLine="562" w:firstLineChars="200"/>
        <w:outlineLvl w:val="2"/>
        <w:rPr>
          <w:rFonts w:hint="eastAsia" w:ascii="宋体" w:hAnsi="宋体" w:eastAsia="宋体" w:cs="宋体"/>
          <w:b/>
          <w:sz w:val="28"/>
          <w:szCs w:val="28"/>
        </w:rPr>
      </w:pPr>
      <w:bookmarkStart w:id="61" w:name="_Toc24374"/>
      <w:r>
        <w:rPr>
          <w:rFonts w:hint="eastAsia" w:ascii="宋体" w:hAnsi="宋体" w:eastAsia="宋体" w:cs="宋体"/>
          <w:b/>
          <w:sz w:val="28"/>
          <w:szCs w:val="28"/>
        </w:rPr>
        <w:t>4.10.1收入情况</w:t>
      </w:r>
      <w:bookmarkEnd w:id="61"/>
    </w:p>
    <w:p>
      <w:pPr>
        <w:ind w:firstLine="560" w:firstLineChars="200"/>
        <w:rPr>
          <w:rFonts w:hint="eastAsia" w:ascii="宋体" w:hAnsi="宋体" w:eastAsia="宋体" w:cs="宋体"/>
          <w:sz w:val="28"/>
          <w:szCs w:val="28"/>
        </w:rPr>
      </w:pPr>
      <w:r>
        <w:rPr>
          <w:rFonts w:hint="eastAsia" w:ascii="宋体" w:hAnsi="宋体" w:eastAsia="宋体" w:cs="宋体"/>
          <w:sz w:val="28"/>
          <w:szCs w:val="28"/>
        </w:rPr>
        <w:t>我校继续教育办学经费主要来源于学员学费，而学费的收取严格按照省物价局、省教育厅、省财政厅制定的标准以及合作高校的收费标准收缴，无私自提高或降低标准收费的现象，也无私立项目乱收费的现象发生。学费由培训中心财务部门统一管理。</w:t>
      </w:r>
    </w:p>
    <w:p>
      <w:pPr>
        <w:ind w:firstLine="562" w:firstLineChars="200"/>
        <w:outlineLvl w:val="2"/>
        <w:rPr>
          <w:rFonts w:hint="eastAsia" w:ascii="宋体" w:hAnsi="宋体" w:eastAsia="宋体" w:cs="宋体"/>
          <w:b/>
          <w:sz w:val="28"/>
          <w:szCs w:val="28"/>
        </w:rPr>
      </w:pPr>
      <w:bookmarkStart w:id="62" w:name="_Toc17268"/>
      <w:r>
        <w:rPr>
          <w:rFonts w:hint="eastAsia" w:ascii="宋体" w:hAnsi="宋体" w:eastAsia="宋体" w:cs="宋体"/>
          <w:b/>
          <w:sz w:val="28"/>
          <w:szCs w:val="28"/>
        </w:rPr>
        <w:t>4.10.2使用情况</w:t>
      </w:r>
      <w:bookmarkEnd w:id="62"/>
    </w:p>
    <w:p>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学费收缴之后，由</w:t>
      </w:r>
      <w:r>
        <w:rPr>
          <w:rFonts w:hint="eastAsia" w:ascii="宋体" w:hAnsi="宋体" w:eastAsia="宋体" w:cs="宋体"/>
          <w:sz w:val="28"/>
          <w:szCs w:val="28"/>
          <w:lang w:val="en-US" w:eastAsia="zh-CN"/>
        </w:rPr>
        <w:t>培训中心</w:t>
      </w:r>
      <w:r>
        <w:rPr>
          <w:rFonts w:hint="eastAsia" w:ascii="宋体" w:hAnsi="宋体" w:eastAsia="宋体" w:cs="宋体"/>
          <w:sz w:val="28"/>
          <w:szCs w:val="28"/>
        </w:rPr>
        <w:t>财务</w:t>
      </w:r>
      <w:r>
        <w:rPr>
          <w:rFonts w:hint="eastAsia" w:ascii="宋体" w:hAnsi="宋体" w:eastAsia="宋体" w:cs="宋体"/>
          <w:sz w:val="28"/>
          <w:szCs w:val="28"/>
          <w:lang w:val="en-US" w:eastAsia="zh-CN"/>
        </w:rPr>
        <w:t>部门</w:t>
      </w:r>
      <w:r>
        <w:rPr>
          <w:rFonts w:hint="eastAsia" w:ascii="宋体" w:hAnsi="宋体" w:eastAsia="宋体" w:cs="宋体"/>
          <w:sz w:val="28"/>
          <w:szCs w:val="28"/>
        </w:rPr>
        <w:t>统一管理，教师授课酬金款项等均由培训中心计算并上报</w:t>
      </w:r>
      <w:r>
        <w:rPr>
          <w:rFonts w:hint="eastAsia" w:ascii="宋体" w:hAnsi="宋体" w:eastAsia="宋体" w:cs="宋体"/>
          <w:sz w:val="28"/>
          <w:szCs w:val="28"/>
          <w:lang w:val="en-US" w:eastAsia="zh-CN"/>
        </w:rPr>
        <w:t>中心</w:t>
      </w:r>
      <w:r>
        <w:rPr>
          <w:rFonts w:hint="eastAsia" w:ascii="宋体" w:hAnsi="宋体" w:eastAsia="宋体" w:cs="宋体"/>
          <w:sz w:val="28"/>
          <w:szCs w:val="28"/>
        </w:rPr>
        <w:t>财务处，财务处审核开支，严格执行国家财政法规。202</w:t>
      </w:r>
      <w:r>
        <w:rPr>
          <w:rFonts w:hint="eastAsia" w:ascii="宋体" w:hAnsi="宋体" w:eastAsia="宋体" w:cs="宋体"/>
          <w:sz w:val="28"/>
          <w:szCs w:val="28"/>
          <w:lang w:val="en-US" w:eastAsia="zh-CN"/>
        </w:rPr>
        <w:t>2</w:t>
      </w:r>
      <w:r>
        <w:rPr>
          <w:rFonts w:hint="eastAsia" w:ascii="宋体" w:hAnsi="宋体" w:eastAsia="宋体" w:cs="宋体"/>
          <w:sz w:val="28"/>
          <w:szCs w:val="28"/>
        </w:rPr>
        <w:t>年学校</w:t>
      </w:r>
      <w:r>
        <w:rPr>
          <w:rFonts w:hint="eastAsia" w:ascii="宋体" w:hAnsi="宋体" w:eastAsia="宋体" w:cs="宋体"/>
          <w:sz w:val="28"/>
          <w:szCs w:val="28"/>
          <w:lang w:eastAsia="zh-CN"/>
        </w:rPr>
        <w:t>成人高等教育</w:t>
      </w:r>
      <w:r>
        <w:rPr>
          <w:rFonts w:hint="eastAsia" w:ascii="宋体" w:hAnsi="宋体" w:eastAsia="宋体" w:cs="宋体"/>
          <w:sz w:val="28"/>
          <w:szCs w:val="28"/>
        </w:rPr>
        <w:t>学费收入</w:t>
      </w:r>
      <w:r>
        <w:rPr>
          <w:rFonts w:hint="eastAsia" w:ascii="宋体" w:hAnsi="宋体" w:eastAsia="宋体" w:cs="宋体"/>
          <w:sz w:val="28"/>
          <w:szCs w:val="28"/>
          <w:lang w:val="en-US" w:eastAsia="zh-CN"/>
        </w:rPr>
        <w:t>70</w:t>
      </w:r>
      <w:r>
        <w:rPr>
          <w:rFonts w:hint="eastAsia" w:ascii="宋体" w:hAnsi="宋体" w:eastAsia="宋体" w:cs="宋体"/>
          <w:sz w:val="28"/>
          <w:szCs w:val="28"/>
        </w:rPr>
        <w:t xml:space="preserve">万元，购置教学设备及教师课酬等教育教学支出 </w:t>
      </w:r>
      <w:r>
        <w:rPr>
          <w:rFonts w:hint="eastAsia" w:ascii="宋体" w:hAnsi="宋体" w:eastAsia="宋体" w:cs="宋体"/>
          <w:sz w:val="28"/>
          <w:szCs w:val="28"/>
          <w:lang w:val="en-US" w:eastAsia="zh-CN"/>
        </w:rPr>
        <w:t>9</w:t>
      </w:r>
      <w:r>
        <w:rPr>
          <w:rFonts w:hint="eastAsia" w:ascii="宋体" w:hAnsi="宋体" w:eastAsia="宋体" w:cs="宋体"/>
          <w:sz w:val="28"/>
          <w:szCs w:val="28"/>
        </w:rPr>
        <w:t>万元</w:t>
      </w:r>
      <w:r>
        <w:rPr>
          <w:rFonts w:hint="eastAsia" w:ascii="宋体" w:hAnsi="宋体" w:eastAsia="宋体" w:cs="宋体"/>
          <w:sz w:val="28"/>
          <w:szCs w:val="28"/>
          <w:lang w:eastAsia="zh-CN"/>
        </w:rPr>
        <w:t>。</w:t>
      </w:r>
    </w:p>
    <w:p>
      <w:pPr>
        <w:ind w:firstLine="562" w:firstLineChars="200"/>
        <w:outlineLvl w:val="0"/>
        <w:rPr>
          <w:rFonts w:hint="eastAsia" w:ascii="宋体" w:hAnsi="宋体" w:eastAsia="宋体" w:cs="宋体"/>
          <w:b/>
          <w:sz w:val="28"/>
          <w:szCs w:val="28"/>
        </w:rPr>
      </w:pPr>
      <w:bookmarkStart w:id="63" w:name="_Toc9673"/>
      <w:r>
        <w:rPr>
          <w:rFonts w:hint="eastAsia" w:ascii="宋体" w:hAnsi="宋体" w:eastAsia="宋体" w:cs="宋体"/>
          <w:b/>
          <w:sz w:val="28"/>
          <w:szCs w:val="28"/>
        </w:rPr>
        <w:t>5.社会贡献</w:t>
      </w:r>
      <w:bookmarkEnd w:id="63"/>
    </w:p>
    <w:p>
      <w:pPr>
        <w:ind w:firstLine="562" w:firstLineChars="200"/>
        <w:outlineLvl w:val="1"/>
        <w:rPr>
          <w:rFonts w:hint="eastAsia" w:ascii="宋体" w:hAnsi="宋体" w:eastAsia="宋体" w:cs="宋体"/>
          <w:b/>
          <w:sz w:val="28"/>
          <w:szCs w:val="28"/>
        </w:rPr>
      </w:pPr>
      <w:bookmarkStart w:id="64" w:name="_Toc27214"/>
      <w:r>
        <w:rPr>
          <w:rFonts w:hint="eastAsia" w:ascii="宋体" w:hAnsi="宋体" w:eastAsia="宋体" w:cs="宋体"/>
          <w:b/>
          <w:sz w:val="28"/>
          <w:szCs w:val="28"/>
        </w:rPr>
        <w:t>5.1继续教育服务国家战略、行业及经济社会发展与学习型社会建设情况</w:t>
      </w:r>
      <w:bookmarkEnd w:id="64"/>
    </w:p>
    <w:p>
      <w:pPr>
        <w:ind w:firstLine="560" w:firstLineChars="200"/>
        <w:rPr>
          <w:rFonts w:hint="eastAsia" w:ascii="宋体" w:hAnsi="宋体" w:eastAsia="宋体" w:cs="宋体"/>
          <w:sz w:val="28"/>
          <w:szCs w:val="28"/>
        </w:rPr>
      </w:pPr>
      <w:r>
        <w:rPr>
          <w:rFonts w:hint="eastAsia" w:ascii="宋体" w:hAnsi="宋体" w:eastAsia="宋体" w:cs="宋体"/>
          <w:sz w:val="28"/>
          <w:szCs w:val="28"/>
        </w:rPr>
        <w:t>学</w:t>
      </w:r>
      <w:r>
        <w:rPr>
          <w:rFonts w:hint="eastAsia" w:ascii="宋体" w:hAnsi="宋体" w:eastAsia="宋体" w:cs="宋体"/>
          <w:sz w:val="28"/>
          <w:szCs w:val="28"/>
          <w:lang w:val="en-US" w:eastAsia="zh-CN"/>
        </w:rPr>
        <w:t>校</w:t>
      </w:r>
      <w:r>
        <w:rPr>
          <w:rFonts w:hint="eastAsia" w:ascii="宋体" w:hAnsi="宋体" w:eastAsia="宋体" w:cs="宋体"/>
          <w:sz w:val="28"/>
          <w:szCs w:val="28"/>
        </w:rPr>
        <w:t>响应国家推行的内外贸一体化政策，重点围绕湖南开放型经济高质量发展、打造内陆地区改革开放高地，精准对接内、外贸易新业态下商品流、信息流、旅游客流、资金流服务领域，为湖南省外经贸行业复合型人才培养贡献“湘外”力量。</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1"/>
        <w:rPr>
          <w:rFonts w:hint="eastAsia" w:ascii="宋体" w:hAnsi="宋体" w:eastAsia="宋体" w:cs="宋体"/>
          <w:b/>
          <w:sz w:val="28"/>
          <w:szCs w:val="28"/>
        </w:rPr>
      </w:pPr>
      <w:bookmarkStart w:id="65" w:name="_Toc20513"/>
      <w:r>
        <w:rPr>
          <w:rFonts w:hint="eastAsia" w:ascii="宋体" w:hAnsi="宋体" w:eastAsia="宋体" w:cs="宋体"/>
          <w:b/>
          <w:sz w:val="28"/>
          <w:szCs w:val="28"/>
        </w:rPr>
        <w:t>5.2继续教育资源面向校内、社会开放情况</w:t>
      </w:r>
      <w:bookmarkEnd w:id="65"/>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学校继续教育资源面向校内学生、毕业生、社会人员全面开放。为满足校内提升本科的需求，学校继续教育学院加大了自考生报考宣传。同时所有成人学历继续教育和非学历教育培训等均面向全社会招生。</w:t>
      </w:r>
    </w:p>
    <w:p>
      <w:pPr>
        <w:keepNext w:val="0"/>
        <w:keepLines w:val="0"/>
        <w:pageBreakBefore w:val="0"/>
        <w:widowControl w:val="0"/>
        <w:kinsoku/>
        <w:wordWrap/>
        <w:overflowPunct/>
        <w:topLinePunct w:val="0"/>
        <w:autoSpaceDE/>
        <w:autoSpaceDN/>
        <w:bidi w:val="0"/>
        <w:adjustRightInd/>
        <w:snapToGrid/>
        <w:ind w:firstLine="562" w:firstLineChars="200"/>
        <w:textAlignment w:val="auto"/>
        <w:outlineLvl w:val="1"/>
        <w:rPr>
          <w:rFonts w:hint="eastAsia" w:ascii="宋体" w:hAnsi="宋体" w:eastAsia="宋体" w:cs="宋体"/>
          <w:b/>
          <w:sz w:val="28"/>
          <w:szCs w:val="28"/>
          <w:lang w:eastAsia="zh-CN"/>
        </w:rPr>
      </w:pPr>
      <w:bookmarkStart w:id="66" w:name="_Toc25267"/>
      <w:r>
        <w:rPr>
          <w:rFonts w:hint="eastAsia" w:ascii="宋体" w:hAnsi="宋体" w:eastAsia="宋体" w:cs="宋体"/>
          <w:b/>
          <w:sz w:val="28"/>
          <w:szCs w:val="28"/>
        </w:rPr>
        <w:t>5.3</w:t>
      </w:r>
      <w:r>
        <w:rPr>
          <w:rFonts w:hint="eastAsia" w:ascii="宋体" w:hAnsi="宋体" w:eastAsia="宋体" w:cs="宋体"/>
          <w:b/>
          <w:sz w:val="28"/>
          <w:szCs w:val="28"/>
          <w:lang w:eastAsia="zh-CN"/>
        </w:rPr>
        <w:t>暂无</w:t>
      </w:r>
      <w:r>
        <w:rPr>
          <w:rFonts w:hint="eastAsia" w:ascii="宋体" w:hAnsi="宋体" w:eastAsia="宋体" w:cs="宋体"/>
          <w:b/>
          <w:sz w:val="28"/>
          <w:szCs w:val="28"/>
        </w:rPr>
        <w:t>对口支援、教育帮扶</w:t>
      </w:r>
      <w:r>
        <w:rPr>
          <w:rFonts w:hint="eastAsia" w:ascii="宋体" w:hAnsi="宋体" w:eastAsia="宋体" w:cs="宋体"/>
          <w:b/>
          <w:sz w:val="28"/>
          <w:szCs w:val="28"/>
          <w:lang w:eastAsia="zh-CN"/>
        </w:rPr>
        <w:t>情况</w:t>
      </w:r>
      <w:bookmarkEnd w:id="66"/>
    </w:p>
    <w:p>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560" w:firstLineChars="200"/>
        <w:textAlignment w:val="auto"/>
        <w:rPr>
          <w:rFonts w:hint="eastAsia"/>
          <w:b w:val="0"/>
          <w:bCs/>
          <w:lang w:eastAsia="zh-CN"/>
        </w:rPr>
      </w:pPr>
      <w:r>
        <w:rPr>
          <w:rFonts w:hint="eastAsia" w:ascii="宋体" w:hAnsi="宋体" w:eastAsia="宋体" w:cs="宋体"/>
          <w:b w:val="0"/>
          <w:bCs/>
          <w:sz w:val="28"/>
          <w:szCs w:val="28"/>
          <w:lang w:eastAsia="zh-CN"/>
        </w:rPr>
        <w:t>暂无开展</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outlineLvl w:val="0"/>
        <w:rPr>
          <w:rFonts w:hint="eastAsia" w:ascii="宋体" w:hAnsi="宋体" w:eastAsia="宋体" w:cs="宋体"/>
          <w:b/>
          <w:sz w:val="28"/>
          <w:szCs w:val="28"/>
        </w:rPr>
      </w:pPr>
      <w:bookmarkStart w:id="67" w:name="_Toc1101"/>
      <w:r>
        <w:rPr>
          <w:rFonts w:hint="eastAsia" w:ascii="宋体" w:hAnsi="宋体" w:eastAsia="宋体" w:cs="宋体"/>
          <w:b/>
          <w:sz w:val="28"/>
          <w:szCs w:val="28"/>
        </w:rPr>
        <w:t>6.特色创新</w:t>
      </w:r>
      <w:bookmarkEnd w:id="67"/>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outlineLvl w:val="1"/>
        <w:rPr>
          <w:rFonts w:hint="eastAsia" w:ascii="宋体" w:hAnsi="宋体" w:eastAsia="宋体" w:cs="宋体"/>
          <w:b/>
          <w:sz w:val="28"/>
          <w:szCs w:val="28"/>
        </w:rPr>
      </w:pPr>
      <w:bookmarkStart w:id="68" w:name="_Toc25405"/>
      <w:r>
        <w:rPr>
          <w:rFonts w:hint="eastAsia" w:ascii="宋体" w:hAnsi="宋体" w:eastAsia="宋体" w:cs="宋体"/>
          <w:b/>
          <w:sz w:val="28"/>
          <w:szCs w:val="28"/>
        </w:rPr>
        <w:t>6.1实践特色与模式创新</w:t>
      </w:r>
      <w:bookmarkEnd w:id="68"/>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outlineLvl w:val="2"/>
        <w:rPr>
          <w:rFonts w:hint="eastAsia" w:ascii="宋体" w:hAnsi="宋体" w:eastAsia="宋体" w:cs="宋体"/>
          <w:b/>
          <w:sz w:val="28"/>
          <w:szCs w:val="28"/>
        </w:rPr>
      </w:pPr>
      <w:bookmarkStart w:id="69" w:name="_Toc19487"/>
      <w:r>
        <w:rPr>
          <w:rFonts w:hint="eastAsia" w:ascii="宋体" w:hAnsi="宋体" w:eastAsia="宋体" w:cs="宋体"/>
          <w:b/>
          <w:sz w:val="28"/>
          <w:szCs w:val="28"/>
        </w:rPr>
        <w:t>6.1.1实践特色</w:t>
      </w:r>
      <w:bookmarkEnd w:id="69"/>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积极探索适合成人特点的教学方法，增强动手能力的培养，在学习过程中，要求学员用所学理论知识，用案例分析法去完成创业计划书等。并运用自己在工作中的实践去完成实践报告，用现代化信息知识去完成 CAD、PhotoShop 的制作。</w:t>
      </w:r>
    </w:p>
    <w:p>
      <w:pPr>
        <w:ind w:firstLine="562" w:firstLineChars="200"/>
        <w:outlineLvl w:val="2"/>
        <w:rPr>
          <w:rFonts w:hint="eastAsia" w:ascii="宋体" w:hAnsi="宋体" w:eastAsia="宋体" w:cs="宋体"/>
          <w:b/>
          <w:sz w:val="28"/>
          <w:szCs w:val="28"/>
        </w:rPr>
      </w:pPr>
      <w:bookmarkStart w:id="70" w:name="_Toc19860"/>
      <w:r>
        <w:rPr>
          <w:rFonts w:hint="eastAsia" w:ascii="宋体" w:hAnsi="宋体" w:eastAsia="宋体" w:cs="宋体"/>
          <w:b/>
          <w:sz w:val="28"/>
          <w:szCs w:val="28"/>
        </w:rPr>
        <w:t>6.1.2模式创新</w:t>
      </w:r>
      <w:bookmarkEnd w:id="70"/>
    </w:p>
    <w:p>
      <w:pPr>
        <w:ind w:firstLine="560" w:firstLineChars="200"/>
        <w:rPr>
          <w:rFonts w:hint="eastAsia" w:ascii="宋体" w:hAnsi="宋体" w:eastAsia="宋体" w:cs="宋体"/>
          <w:sz w:val="28"/>
          <w:szCs w:val="28"/>
        </w:rPr>
      </w:pPr>
      <w:r>
        <w:rPr>
          <w:rFonts w:hint="eastAsia" w:ascii="宋体" w:hAnsi="宋体" w:eastAsia="宋体" w:cs="宋体"/>
          <w:sz w:val="28"/>
          <w:szCs w:val="28"/>
        </w:rPr>
        <w:t>在继续教育的教学培训过程中，不断创新教学模式，开发线上教学，选修精品课程，针对成人学生特点，开发多种类型的选修课，使学生在获得专业知识后，选修有兴趣爱好、轻松、娱乐的课程，提升学习兴趣。如开设有外贸英语口语、音乐鉴赏、湖湘文化、孙子兵法、太极与身心拓展等。</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8480" behindDoc="0" locked="0" layoutInCell="1" allowOverlap="1">
            <wp:simplePos x="0" y="0"/>
            <wp:positionH relativeFrom="column">
              <wp:posOffset>-111125</wp:posOffset>
            </wp:positionH>
            <wp:positionV relativeFrom="paragraph">
              <wp:posOffset>67310</wp:posOffset>
            </wp:positionV>
            <wp:extent cx="5113655" cy="2765425"/>
            <wp:effectExtent l="19050" t="0" r="0" b="0"/>
            <wp:wrapNone/>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8" cstate="print"/>
                    <a:stretch>
                      <a:fillRect/>
                    </a:stretch>
                  </pic:blipFill>
                  <pic:spPr>
                    <a:xfrm>
                      <a:off x="0" y="0"/>
                      <a:ext cx="5113324" cy="2765502"/>
                    </a:xfrm>
                    <a:prstGeom prst="rect">
                      <a:avLst/>
                    </a:prstGeom>
                  </pic:spPr>
                </pic:pic>
              </a:graphicData>
            </a:graphic>
          </wp:anchor>
        </w:drawing>
      </w:r>
    </w:p>
    <w:p>
      <w:pPr>
        <w:ind w:firstLine="560" w:firstLineChars="200"/>
        <w:rPr>
          <w:rFonts w:hint="eastAsia" w:ascii="宋体" w:hAnsi="宋体" w:eastAsia="宋体" w:cs="宋体"/>
          <w:sz w:val="28"/>
          <w:szCs w:val="28"/>
        </w:rPr>
      </w:pPr>
    </w:p>
    <w:p>
      <w:pPr>
        <w:ind w:firstLine="560" w:firstLineChars="200"/>
        <w:rPr>
          <w:rFonts w:hint="eastAsia" w:ascii="宋体" w:hAnsi="宋体" w:eastAsia="宋体" w:cs="宋体"/>
          <w:sz w:val="28"/>
          <w:szCs w:val="28"/>
        </w:rPr>
      </w:pPr>
    </w:p>
    <w:p>
      <w:pPr>
        <w:ind w:firstLine="560" w:firstLineChars="200"/>
        <w:rPr>
          <w:rFonts w:hint="eastAsia" w:ascii="宋体" w:hAnsi="宋体" w:eastAsia="宋体" w:cs="宋体"/>
          <w:sz w:val="28"/>
          <w:szCs w:val="28"/>
        </w:rPr>
      </w:pPr>
    </w:p>
    <w:p>
      <w:pPr>
        <w:pStyle w:val="2"/>
        <w:rPr>
          <w:rFonts w:hint="eastAsia" w:ascii="宋体" w:hAnsi="宋体" w:eastAsia="宋体" w:cs="宋体"/>
          <w:sz w:val="28"/>
          <w:szCs w:val="28"/>
        </w:rPr>
      </w:pPr>
    </w:p>
    <w:p>
      <w:pPr>
        <w:pStyle w:val="2"/>
        <w:rPr>
          <w:rFonts w:hint="eastAsia" w:ascii="宋体" w:hAnsi="宋体" w:eastAsia="宋体" w:cs="宋体"/>
          <w:sz w:val="28"/>
          <w:szCs w:val="28"/>
        </w:rPr>
      </w:pPr>
    </w:p>
    <w:p>
      <w:pPr>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1446" w:firstLineChars="6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选修课《走进湖湘文化》（数</w:t>
      </w:r>
      <w:r>
        <w:rPr>
          <w:rFonts w:hint="eastAsia" w:ascii="宋体" w:hAnsi="宋体" w:eastAsia="宋体" w:cs="宋体"/>
          <w:b/>
          <w:bCs/>
          <w:sz w:val="24"/>
          <w:szCs w:val="24"/>
          <w:lang w:eastAsia="zh-CN"/>
        </w:rPr>
        <w:t>据</w:t>
      </w:r>
      <w:r>
        <w:rPr>
          <w:rFonts w:hint="eastAsia" w:ascii="宋体" w:hAnsi="宋体" w:eastAsia="宋体" w:cs="宋体"/>
          <w:b/>
          <w:bCs/>
          <w:sz w:val="24"/>
          <w:szCs w:val="24"/>
        </w:rPr>
        <w:t>来源：培训中心）</w:t>
      </w:r>
    </w:p>
    <w:p>
      <w:pPr>
        <w:ind w:firstLine="562" w:firstLineChars="200"/>
        <w:outlineLvl w:val="1"/>
        <w:rPr>
          <w:rFonts w:hint="eastAsia" w:ascii="宋体" w:hAnsi="宋体" w:eastAsia="宋体" w:cs="宋体"/>
          <w:b/>
          <w:sz w:val="28"/>
          <w:szCs w:val="28"/>
        </w:rPr>
      </w:pPr>
      <w:bookmarkStart w:id="71" w:name="_Toc27988"/>
      <w:r>
        <w:rPr>
          <w:rFonts w:hint="eastAsia" w:ascii="宋体" w:hAnsi="宋体" w:eastAsia="宋体" w:cs="宋体"/>
          <w:b/>
          <w:sz w:val="28"/>
          <w:szCs w:val="28"/>
        </w:rPr>
        <w:t>6.2国际交流与合作情况</w:t>
      </w:r>
      <w:bookmarkEnd w:id="71"/>
    </w:p>
    <w:p>
      <w:pPr>
        <w:ind w:firstLine="562" w:firstLineChars="200"/>
        <w:outlineLvl w:val="2"/>
        <w:rPr>
          <w:rFonts w:hint="eastAsia" w:ascii="宋体" w:hAnsi="宋体" w:eastAsia="宋体" w:cs="宋体"/>
          <w:sz w:val="28"/>
          <w:szCs w:val="28"/>
        </w:rPr>
      </w:pPr>
      <w:bookmarkStart w:id="72" w:name="_Toc22635"/>
      <w:r>
        <w:rPr>
          <w:rFonts w:hint="eastAsia" w:ascii="宋体" w:hAnsi="宋体" w:eastAsia="宋体" w:cs="宋体"/>
          <w:b/>
          <w:sz w:val="28"/>
          <w:szCs w:val="28"/>
        </w:rPr>
        <w:t>6.2.1引进来的交流与合作</w:t>
      </w:r>
      <w:bookmarkEnd w:id="72"/>
    </w:p>
    <w:p>
      <w:pPr>
        <w:ind w:firstLine="560" w:firstLineChars="200"/>
        <w:rPr>
          <w:rFonts w:hint="eastAsia" w:ascii="宋体" w:hAnsi="宋体" w:eastAsia="宋体" w:cs="宋体"/>
          <w:sz w:val="28"/>
          <w:szCs w:val="28"/>
        </w:rPr>
      </w:pPr>
      <w:r>
        <w:rPr>
          <w:rFonts w:hint="eastAsia" w:ascii="宋体" w:hAnsi="宋体" w:eastAsia="宋体" w:cs="宋体"/>
          <w:sz w:val="28"/>
          <w:szCs w:val="28"/>
        </w:rPr>
        <w:t>学校在与玮希国际学校、上海对外经贸大学等交流洽谈，拓宽合作渠道，提升办学质量。通过与知名的大学建立2.5+2.5专升本等项目，在现有的合作与交流基础上，拓展多层次和形式的合作。目前，学校正在积极与西班牙、日本、英国等国家的学校探索专本、专硕合作项目。</w:t>
      </w:r>
    </w:p>
    <w:p>
      <w:pPr>
        <w:ind w:firstLine="562" w:firstLineChars="200"/>
        <w:outlineLvl w:val="2"/>
        <w:rPr>
          <w:rFonts w:hint="eastAsia" w:ascii="宋体" w:hAnsi="宋体" w:eastAsia="宋体" w:cs="宋体"/>
          <w:b/>
          <w:sz w:val="28"/>
          <w:szCs w:val="28"/>
        </w:rPr>
      </w:pPr>
      <w:bookmarkStart w:id="73" w:name="_Toc21523"/>
      <w:r>
        <w:rPr>
          <w:rFonts w:hint="eastAsia" w:ascii="宋体" w:hAnsi="宋体" w:eastAsia="宋体" w:cs="宋体"/>
          <w:b/>
          <w:sz w:val="28"/>
          <w:szCs w:val="28"/>
        </w:rPr>
        <w:t>6.2.2走出去的交流与合作</w:t>
      </w:r>
      <w:bookmarkEnd w:id="73"/>
    </w:p>
    <w:p>
      <w:pPr>
        <w:ind w:firstLine="560" w:firstLineChars="200"/>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9504" behindDoc="0" locked="0" layoutInCell="1" allowOverlap="1">
            <wp:simplePos x="0" y="0"/>
            <wp:positionH relativeFrom="column">
              <wp:posOffset>15875</wp:posOffset>
            </wp:positionH>
            <wp:positionV relativeFrom="paragraph">
              <wp:posOffset>2353310</wp:posOffset>
            </wp:positionV>
            <wp:extent cx="5087620" cy="2454275"/>
            <wp:effectExtent l="0" t="0" r="17780" b="3175"/>
            <wp:wrapNone/>
            <wp:docPr id="22" name="图片 16" descr="微信图片_2022120714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微信图片_20221207142040"/>
                    <pic:cNvPicPr>
                      <a:picLocks noChangeAspect="1"/>
                    </pic:cNvPicPr>
                  </pic:nvPicPr>
                  <pic:blipFill>
                    <a:blip r:embed="rId19"/>
                    <a:stretch>
                      <a:fillRect/>
                    </a:stretch>
                  </pic:blipFill>
                  <pic:spPr>
                    <a:xfrm>
                      <a:off x="0" y="0"/>
                      <a:ext cx="5087620" cy="2454275"/>
                    </a:xfrm>
                    <a:prstGeom prst="rect">
                      <a:avLst/>
                    </a:prstGeom>
                    <a:noFill/>
                    <a:ln>
                      <a:noFill/>
                    </a:ln>
                  </pic:spPr>
                </pic:pic>
              </a:graphicData>
            </a:graphic>
          </wp:anchor>
        </w:drawing>
      </w:r>
      <w:r>
        <w:rPr>
          <w:rFonts w:hint="eastAsia" w:ascii="宋体" w:hAnsi="宋体" w:eastAsia="宋体" w:cs="宋体"/>
          <w:sz w:val="28"/>
          <w:szCs w:val="28"/>
        </w:rPr>
        <w:t>由商务部主办，学校和商务厅培训中心承办的援布基纳法索第2期职业培训中心技术援助项目于2021年1月启动，为期两年，学校选派了刘权同志担任项目组组长，带领组员积极实施职业培训中心技术援助项目，职教组在布传授经验技术、建设职业标准、组织技能竞赛、开发智力成果、开展职教调研、开拓中布产学研合作、推动布方现代职教发展，取得了丰硕成果。</w:t>
      </w:r>
    </w:p>
    <w:p>
      <w:pPr>
        <w:ind w:firstLine="560" w:firstLineChars="200"/>
        <w:rPr>
          <w:rFonts w:hint="eastAsia" w:ascii="宋体" w:hAnsi="宋体" w:eastAsia="宋体" w:cs="宋体"/>
          <w:sz w:val="28"/>
          <w:szCs w:val="28"/>
        </w:rPr>
      </w:pPr>
    </w:p>
    <w:p>
      <w:pPr>
        <w:ind w:firstLine="560" w:firstLineChars="200"/>
        <w:rPr>
          <w:rFonts w:hint="eastAsia" w:ascii="宋体" w:hAnsi="宋体" w:eastAsia="宋体" w:cs="宋体"/>
          <w:sz w:val="28"/>
          <w:szCs w:val="28"/>
        </w:rPr>
      </w:pPr>
    </w:p>
    <w:p>
      <w:pPr>
        <w:ind w:firstLine="560" w:firstLineChars="200"/>
        <w:rPr>
          <w:rFonts w:hint="eastAsia" w:ascii="宋体" w:hAnsi="宋体" w:eastAsia="宋体" w:cs="宋体"/>
          <w:sz w:val="28"/>
          <w:szCs w:val="28"/>
        </w:rPr>
      </w:pPr>
    </w:p>
    <w:p>
      <w:pPr>
        <w:ind w:firstLine="560" w:firstLineChars="200"/>
        <w:rPr>
          <w:rFonts w:hint="eastAsia" w:ascii="宋体" w:hAnsi="宋体" w:eastAsia="宋体" w:cs="宋体"/>
          <w:sz w:val="28"/>
          <w:szCs w:val="28"/>
        </w:rPr>
      </w:pPr>
    </w:p>
    <w:p>
      <w:pPr>
        <w:ind w:firstLine="560" w:firstLineChars="200"/>
        <w:rPr>
          <w:rFonts w:hint="eastAsia" w:ascii="宋体" w:hAnsi="宋体" w:eastAsia="宋体" w:cs="宋体"/>
          <w:sz w:val="28"/>
          <w:szCs w:val="28"/>
        </w:rPr>
      </w:pPr>
    </w:p>
    <w:p>
      <w:pPr>
        <w:ind w:firstLine="560" w:firstLineChars="200"/>
        <w:rPr>
          <w:rFonts w:hint="eastAsia" w:ascii="宋体" w:hAnsi="宋体" w:eastAsia="宋体" w:cs="宋体"/>
          <w:sz w:val="28"/>
          <w:szCs w:val="28"/>
        </w:rPr>
      </w:pPr>
    </w:p>
    <w:tbl>
      <w:tblPr>
        <w:tblStyle w:val="12"/>
        <w:tblW w:w="0" w:type="auto"/>
        <w:tblCellSpacing w:w="0" w:type="dxa"/>
        <w:tblInd w:w="0" w:type="dxa"/>
        <w:tblLayout w:type="autofit"/>
        <w:tblCellMar>
          <w:top w:w="0" w:type="dxa"/>
          <w:left w:w="0" w:type="dxa"/>
          <w:bottom w:w="0" w:type="dxa"/>
          <w:right w:w="0" w:type="dxa"/>
        </w:tblCellMar>
      </w:tblPr>
      <w:tblGrid>
        <w:gridCol w:w="6"/>
      </w:tblGrid>
      <w:tr>
        <w:tblPrEx>
          <w:tblCellMar>
            <w:top w:w="0" w:type="dxa"/>
            <w:left w:w="0" w:type="dxa"/>
            <w:bottom w:w="0" w:type="dxa"/>
            <w:right w:w="0" w:type="dxa"/>
          </w:tblCellMar>
        </w:tblPrEx>
        <w:trPr>
          <w:tblCellSpacing w:w="0" w:type="dxa"/>
        </w:trPr>
        <w:tc>
          <w:tcPr>
            <w:tcW w:w="0" w:type="auto"/>
            <w:vAlign w:val="center"/>
          </w:tcPr>
          <w:p>
            <w:pPr>
              <w:widowControl/>
              <w:rPr>
                <w:rFonts w:hint="eastAsia" w:ascii="宋体" w:hAnsi="宋体" w:eastAsia="宋体" w:cs="宋体"/>
                <w:sz w:val="24"/>
                <w:szCs w:val="24"/>
              </w:rPr>
            </w:pPr>
          </w:p>
        </w:tc>
      </w:tr>
    </w:tbl>
    <w:p>
      <w:pPr>
        <w:keepNext w:val="0"/>
        <w:keepLines w:val="0"/>
        <w:pageBreakBefore w:val="0"/>
        <w:widowControl w:val="0"/>
        <w:kinsoku/>
        <w:wordWrap/>
        <w:overflowPunct/>
        <w:topLinePunct w:val="0"/>
        <w:autoSpaceDE/>
        <w:autoSpaceDN/>
        <w:bidi w:val="0"/>
        <w:adjustRightInd/>
        <w:snapToGrid/>
        <w:ind w:firstLine="1687" w:firstLineChars="700"/>
        <w:jc w:val="both"/>
        <w:textAlignment w:val="auto"/>
        <w:outlineLvl w:val="9"/>
        <w:rPr>
          <w:rStyle w:val="20"/>
          <w:rFonts w:hint="eastAsia" w:ascii="宋体" w:hAnsi="宋体" w:eastAsia="宋体" w:cs="宋体"/>
        </w:rPr>
      </w:pPr>
      <w:r>
        <w:rPr>
          <w:rFonts w:hint="eastAsia" w:ascii="宋体" w:hAnsi="宋体" w:eastAsia="宋体" w:cs="宋体"/>
          <w:b/>
          <w:bCs/>
          <w:sz w:val="24"/>
          <w:szCs w:val="24"/>
        </w:rPr>
        <w:t>刘权在非洲布基纳法索开展职教援助工作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70528" behindDoc="0" locked="0" layoutInCell="1" allowOverlap="1">
            <wp:simplePos x="0" y="0"/>
            <wp:positionH relativeFrom="column">
              <wp:posOffset>73025</wp:posOffset>
            </wp:positionH>
            <wp:positionV relativeFrom="paragraph">
              <wp:posOffset>76200</wp:posOffset>
            </wp:positionV>
            <wp:extent cx="4921250" cy="2567305"/>
            <wp:effectExtent l="0" t="0" r="12700" b="4445"/>
            <wp:wrapNone/>
            <wp:docPr id="23" name="图片 1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图片2"/>
                    <pic:cNvPicPr>
                      <a:picLocks noChangeAspect="1"/>
                    </pic:cNvPicPr>
                  </pic:nvPicPr>
                  <pic:blipFill>
                    <a:blip r:embed="rId20"/>
                    <a:stretch>
                      <a:fillRect/>
                    </a:stretch>
                  </pic:blipFill>
                  <pic:spPr>
                    <a:xfrm>
                      <a:off x="0" y="0"/>
                      <a:ext cx="4934795" cy="2567305"/>
                    </a:xfrm>
                    <a:prstGeom prst="rect">
                      <a:avLst/>
                    </a:prstGeom>
                    <a:noFill/>
                    <a:ln>
                      <a:noFill/>
                    </a:ln>
                  </pic:spPr>
                </pic:pic>
              </a:graphicData>
            </a:graphic>
          </wp:anchor>
        </w:drawing>
      </w:r>
    </w:p>
    <w:p>
      <w:pPr>
        <w:ind w:firstLine="560" w:firstLineChars="200"/>
        <w:rPr>
          <w:rFonts w:hint="eastAsia" w:ascii="宋体" w:hAnsi="宋体" w:eastAsia="宋体" w:cs="宋体"/>
          <w:sz w:val="28"/>
          <w:szCs w:val="28"/>
        </w:rPr>
      </w:pPr>
    </w:p>
    <w:p>
      <w:pPr>
        <w:pStyle w:val="2"/>
        <w:rPr>
          <w:rFonts w:hint="eastAsia" w:ascii="宋体" w:hAnsi="宋体" w:eastAsia="宋体" w:cs="宋体"/>
          <w:sz w:val="28"/>
          <w:szCs w:val="28"/>
        </w:rPr>
      </w:pPr>
    </w:p>
    <w:p>
      <w:pPr>
        <w:pStyle w:val="2"/>
        <w:rPr>
          <w:rFonts w:hint="eastAsia" w:ascii="宋体" w:hAnsi="宋体" w:eastAsia="宋体" w:cs="宋体"/>
          <w:color w:val="000000" w:themeColor="text1"/>
          <w:sz w:val="28"/>
          <w:szCs w:val="28"/>
          <w14:textFill>
            <w14:solidFill>
              <w14:schemeClr w14:val="tx1"/>
            </w14:solidFill>
          </w14:textFill>
        </w:rPr>
      </w:pPr>
    </w:p>
    <w:p>
      <w:pPr>
        <w:pStyle w:val="2"/>
        <w:rPr>
          <w:rFonts w:hint="eastAsia" w:ascii="宋体" w:hAnsi="宋体" w:eastAsia="宋体" w:cs="宋体"/>
          <w:color w:val="000000" w:themeColor="text1"/>
          <w:sz w:val="28"/>
          <w:szCs w:val="28"/>
          <w14:textFill>
            <w14:solidFill>
              <w14:schemeClr w14:val="tx1"/>
            </w14:solidFill>
          </w14:textFill>
        </w:rPr>
      </w:pPr>
    </w:p>
    <w:p>
      <w:pPr>
        <w:pStyle w:val="2"/>
        <w:rPr>
          <w:rFonts w:hint="eastAsia" w:ascii="宋体" w:hAnsi="宋体" w:eastAsia="宋体" w:cs="宋体"/>
          <w:color w:val="000000" w:themeColor="text1"/>
          <w:sz w:val="28"/>
          <w:szCs w:val="28"/>
          <w14:textFill>
            <w14:solidFill>
              <w14:schemeClr w14:val="tx1"/>
            </w14:solidFill>
          </w14:textFill>
        </w:rPr>
      </w:pPr>
    </w:p>
    <w:p>
      <w:pPr>
        <w:ind w:firstLine="964" w:firstLineChars="400"/>
        <w:jc w:val="both"/>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当地学员积极参与援布职教组中国国情及中国文化专题</w:t>
      </w:r>
    </w:p>
    <w:p>
      <w:pPr>
        <w:jc w:val="center"/>
        <w:rPr>
          <w:rStyle w:val="20"/>
          <w:rFonts w:hint="eastAsia" w:ascii="宋体" w:hAnsi="宋体" w:eastAsia="宋体" w:cs="宋体"/>
          <w:color w:val="000000" w:themeColor="text1"/>
          <w14:textFill>
            <w14:solidFill>
              <w14:schemeClr w14:val="tx1"/>
            </w14:solidFill>
          </w14:textFill>
        </w:rPr>
      </w:pPr>
    </w:p>
    <w:p>
      <w:pPr>
        <w:ind w:firstLine="562" w:firstLineChars="200"/>
        <w:outlineLvl w:val="1"/>
        <w:rPr>
          <w:rFonts w:hint="eastAsia" w:ascii="宋体" w:hAnsi="宋体" w:eastAsia="宋体" w:cs="宋体"/>
          <w:b/>
          <w:color w:val="000000" w:themeColor="text1"/>
          <w:sz w:val="28"/>
          <w:szCs w:val="28"/>
          <w14:textFill>
            <w14:solidFill>
              <w14:schemeClr w14:val="tx1"/>
            </w14:solidFill>
          </w14:textFill>
        </w:rPr>
      </w:pPr>
      <w:bookmarkStart w:id="74" w:name="_Toc5762"/>
      <w:r>
        <w:rPr>
          <w:rFonts w:hint="eastAsia" w:ascii="宋体" w:hAnsi="宋体" w:eastAsia="宋体" w:cs="宋体"/>
          <w:b/>
          <w:color w:val="000000" w:themeColor="text1"/>
          <w:sz w:val="28"/>
          <w:szCs w:val="28"/>
          <w14:textFill>
            <w14:solidFill>
              <w14:schemeClr w14:val="tx1"/>
            </w14:solidFill>
          </w14:textFill>
        </w:rPr>
        <w:t>6.3教育教学研究成果</w:t>
      </w:r>
      <w:bookmarkEnd w:id="74"/>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我校继续教育工作暂无此成果。</w:t>
      </w:r>
    </w:p>
    <w:p>
      <w:pPr>
        <w:ind w:firstLine="562" w:firstLineChars="200"/>
        <w:outlineLvl w:val="0"/>
        <w:rPr>
          <w:rFonts w:hint="eastAsia" w:ascii="宋体" w:hAnsi="宋体" w:eastAsia="宋体" w:cs="宋体"/>
          <w:b/>
          <w:color w:val="000000" w:themeColor="text1"/>
          <w:sz w:val="28"/>
          <w:szCs w:val="28"/>
          <w14:textFill>
            <w14:solidFill>
              <w14:schemeClr w14:val="tx1"/>
            </w14:solidFill>
          </w14:textFill>
        </w:rPr>
      </w:pPr>
      <w:bookmarkStart w:id="75" w:name="_Toc10863"/>
      <w:r>
        <w:rPr>
          <w:rFonts w:hint="eastAsia" w:ascii="宋体" w:hAnsi="宋体" w:eastAsia="宋体" w:cs="宋体"/>
          <w:b/>
          <w:color w:val="000000" w:themeColor="text1"/>
          <w:sz w:val="28"/>
          <w:szCs w:val="28"/>
          <w14:textFill>
            <w14:solidFill>
              <w14:schemeClr w14:val="tx1"/>
            </w14:solidFill>
          </w14:textFill>
        </w:rPr>
        <w:t>7.问题挑战</w:t>
      </w:r>
      <w:bookmarkEnd w:id="75"/>
    </w:p>
    <w:p>
      <w:pPr>
        <w:ind w:firstLine="562" w:firstLineChars="200"/>
        <w:outlineLvl w:val="1"/>
        <w:rPr>
          <w:rFonts w:hint="eastAsia" w:ascii="宋体" w:hAnsi="宋体" w:eastAsia="宋体" w:cs="宋体"/>
          <w:b/>
          <w:color w:val="000000" w:themeColor="text1"/>
          <w:sz w:val="28"/>
          <w:szCs w:val="28"/>
          <w14:textFill>
            <w14:solidFill>
              <w14:schemeClr w14:val="tx1"/>
            </w14:solidFill>
          </w14:textFill>
        </w:rPr>
      </w:pPr>
      <w:bookmarkStart w:id="76" w:name="_Toc10928"/>
      <w:r>
        <w:rPr>
          <w:rFonts w:hint="eastAsia" w:ascii="宋体" w:hAnsi="宋体" w:eastAsia="宋体" w:cs="宋体"/>
          <w:b/>
          <w:color w:val="000000" w:themeColor="text1"/>
          <w:sz w:val="28"/>
          <w:szCs w:val="28"/>
          <w14:textFill>
            <w14:solidFill>
              <w14:schemeClr w14:val="tx1"/>
            </w14:solidFill>
          </w14:textFill>
        </w:rPr>
        <w:t>7.1面对的新挑战、新需求</w:t>
      </w:r>
      <w:bookmarkEnd w:id="76"/>
    </w:p>
    <w:p>
      <w:pPr>
        <w:ind w:firstLine="560" w:firstLineChars="200"/>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近年来，随着中国经济进入高质量发展新阶段，整个社会对高素质技术技能人才和高学历人才的需求更加旺盛，特别是发达地区引进人才的要求更高，想获得学历提升和继续教育的人数规模仍然很大。同时，随着乡村振兴战略深入推进，新型职业农民、退伍军人等的技术培训需求逐年增大、前景十分看好。</w:t>
      </w:r>
    </w:p>
    <w:p>
      <w:pPr>
        <w:ind w:firstLine="562" w:firstLineChars="200"/>
        <w:outlineLvl w:val="1"/>
        <w:rPr>
          <w:rFonts w:hint="eastAsia" w:ascii="宋体" w:hAnsi="宋体" w:eastAsia="宋体" w:cs="宋体"/>
          <w:b/>
          <w:color w:val="000000" w:themeColor="text1"/>
          <w:sz w:val="28"/>
          <w:szCs w:val="28"/>
          <w14:textFill>
            <w14:solidFill>
              <w14:schemeClr w14:val="tx1"/>
            </w14:solidFill>
          </w14:textFill>
        </w:rPr>
      </w:pPr>
      <w:bookmarkStart w:id="77" w:name="_Toc19648"/>
      <w:r>
        <w:rPr>
          <w:rFonts w:hint="eastAsia" w:ascii="宋体" w:hAnsi="宋体" w:eastAsia="宋体" w:cs="宋体"/>
          <w:b/>
          <w:color w:val="000000" w:themeColor="text1"/>
          <w:sz w:val="28"/>
          <w:szCs w:val="28"/>
          <w14:textFill>
            <w14:solidFill>
              <w14:schemeClr w14:val="tx1"/>
            </w14:solidFill>
          </w14:textFill>
        </w:rPr>
        <w:t>7.2存在的主要问题及原因</w:t>
      </w:r>
      <w:bookmarkEnd w:id="77"/>
      <w:bookmarkStart w:id="81" w:name="_GoBack"/>
      <w:bookmarkEnd w:id="81"/>
    </w:p>
    <w:p>
      <w:pPr>
        <w:ind w:firstLine="560" w:firstLineChars="200"/>
        <w:rPr>
          <w:rFonts w:hint="default"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随着国家对学历继续教育的全面规范，学历继续教育的人才培养质量将得到有效保障。但随着面授课程的全面落实，在职人员如何兼顾好工作与学习的矛盾将日益突出。</w:t>
      </w:r>
    </w:p>
    <w:p>
      <w:pPr>
        <w:ind w:firstLine="562" w:firstLineChars="200"/>
        <w:outlineLvl w:val="0"/>
        <w:rPr>
          <w:rFonts w:hint="eastAsia" w:ascii="宋体" w:hAnsi="宋体" w:eastAsia="宋体" w:cs="宋体"/>
          <w:b/>
          <w:color w:val="000000" w:themeColor="text1"/>
          <w:sz w:val="28"/>
          <w:szCs w:val="28"/>
          <w14:textFill>
            <w14:solidFill>
              <w14:schemeClr w14:val="tx1"/>
            </w14:solidFill>
          </w14:textFill>
        </w:rPr>
      </w:pPr>
      <w:bookmarkStart w:id="78" w:name="_Toc14658"/>
      <w:r>
        <w:rPr>
          <w:rFonts w:hint="eastAsia" w:ascii="宋体" w:hAnsi="宋体" w:eastAsia="宋体" w:cs="宋体"/>
          <w:b/>
          <w:color w:val="000000" w:themeColor="text1"/>
          <w:sz w:val="28"/>
          <w:szCs w:val="28"/>
          <w14:textFill>
            <w14:solidFill>
              <w14:schemeClr w14:val="tx1"/>
            </w14:solidFill>
          </w14:textFill>
        </w:rPr>
        <w:t>8.对策建议</w:t>
      </w:r>
      <w:bookmarkEnd w:id="78"/>
    </w:p>
    <w:p>
      <w:pPr>
        <w:ind w:firstLine="562" w:firstLineChars="200"/>
        <w:outlineLvl w:val="1"/>
        <w:rPr>
          <w:rFonts w:hint="eastAsia" w:ascii="宋体" w:hAnsi="宋体" w:eastAsia="宋体" w:cs="宋体"/>
          <w:b/>
          <w:color w:val="000000" w:themeColor="text1"/>
          <w:sz w:val="28"/>
          <w:szCs w:val="28"/>
          <w14:textFill>
            <w14:solidFill>
              <w14:schemeClr w14:val="tx1"/>
            </w14:solidFill>
          </w14:textFill>
        </w:rPr>
      </w:pPr>
      <w:bookmarkStart w:id="79" w:name="_Toc2587"/>
      <w:r>
        <w:rPr>
          <w:rFonts w:hint="eastAsia" w:ascii="宋体" w:hAnsi="宋体" w:eastAsia="宋体" w:cs="宋体"/>
          <w:b/>
          <w:color w:val="000000" w:themeColor="text1"/>
          <w:sz w:val="28"/>
          <w:szCs w:val="28"/>
          <w14:textFill>
            <w14:solidFill>
              <w14:schemeClr w14:val="tx1"/>
            </w14:solidFill>
          </w14:textFill>
        </w:rPr>
        <w:t>8.1发展思路</w:t>
      </w:r>
      <w:bookmarkEnd w:id="79"/>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全面规范学历继续教育招生、教学管理等工作，按照新的要求严格管理合作办学行为，营造风清气正的学历继续教育良好生态。树立我校学历继续教育健康发展的良好形象。</w:t>
      </w:r>
    </w:p>
    <w:p>
      <w:pPr>
        <w:ind w:firstLine="562" w:firstLineChars="200"/>
        <w:outlineLvl w:val="1"/>
        <w:rPr>
          <w:rFonts w:hint="eastAsia" w:ascii="宋体" w:hAnsi="宋体" w:eastAsia="宋体" w:cs="宋体"/>
          <w:color w:val="000000" w:themeColor="text1"/>
          <w:sz w:val="28"/>
          <w:szCs w:val="28"/>
          <w14:textFill>
            <w14:solidFill>
              <w14:schemeClr w14:val="tx1"/>
            </w14:solidFill>
          </w14:textFill>
        </w:rPr>
      </w:pPr>
      <w:bookmarkStart w:id="80" w:name="_Toc26918"/>
      <w:r>
        <w:rPr>
          <w:rFonts w:hint="eastAsia" w:ascii="宋体" w:hAnsi="宋体" w:eastAsia="宋体" w:cs="宋体"/>
          <w:b/>
          <w:color w:val="000000" w:themeColor="text1"/>
          <w:sz w:val="28"/>
          <w:szCs w:val="28"/>
          <w14:textFill>
            <w14:solidFill>
              <w14:schemeClr w14:val="tx1"/>
            </w14:solidFill>
          </w14:textFill>
        </w:rPr>
        <w:t>8.2政策建议</w:t>
      </w:r>
      <w:bookmarkEnd w:id="80"/>
    </w:p>
    <w:p>
      <w:pPr>
        <w:ind w:firstLine="560" w:firstLineChars="200"/>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1、大力建设高等学历继续教育线上管理系统。在“互联网+”时代，信息技术可以更深层次应用到高等学历继续教育中，建议通过网络平台加强站点、办学信息、教学实施等方面的全过程、全方位监控。</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2、深化成人高等教育教学模式、教学内容改革，提升网络化教学管理水平</w:t>
      </w:r>
      <w:r>
        <w:rPr>
          <w:rFonts w:hint="eastAsia" w:ascii="宋体" w:hAnsi="宋体" w:eastAsia="宋体" w:cs="宋体"/>
          <w:sz w:val="28"/>
          <w:szCs w:val="28"/>
          <w:lang w:eastAsia="zh-CN"/>
        </w:rPr>
        <w:t>，</w:t>
      </w:r>
      <w:r>
        <w:rPr>
          <w:rFonts w:hint="eastAsia" w:ascii="宋体" w:hAnsi="宋体" w:eastAsia="宋体" w:cs="宋体"/>
          <w:sz w:val="28"/>
          <w:szCs w:val="28"/>
        </w:rPr>
        <w:t>大力开发数字化课程，并坚持函授教育所要求的过程管理、考试管理和面授教学，加强监管，形成线上线下相结合的学习新模式，满足不同学生的学习需求。</w:t>
      </w:r>
      <w:r>
        <w:rPr>
          <w:rFonts w:hint="eastAsia" w:ascii="宋体" w:hAnsi="宋体" w:eastAsia="宋体" w:cs="宋体"/>
          <w:sz w:val="28"/>
          <w:szCs w:val="28"/>
          <w:lang w:val="en-US" w:eastAsia="zh-CN"/>
        </w:rPr>
        <w:t>不断完善</w:t>
      </w:r>
      <w:r>
        <w:rPr>
          <w:rFonts w:hint="eastAsia" w:ascii="宋体" w:hAnsi="宋体" w:eastAsia="宋体" w:cs="宋体"/>
          <w:sz w:val="28"/>
          <w:szCs w:val="28"/>
        </w:rPr>
        <w:t>健全各项教育教学管理规章制度,进一步</w:t>
      </w:r>
      <w:r>
        <w:rPr>
          <w:rFonts w:hint="eastAsia" w:ascii="宋体" w:hAnsi="宋体" w:eastAsia="宋体" w:cs="宋体"/>
          <w:sz w:val="28"/>
          <w:szCs w:val="28"/>
          <w:lang w:val="en-US" w:eastAsia="zh-CN"/>
        </w:rPr>
        <w:t>加强</w:t>
      </w:r>
      <w:r>
        <w:rPr>
          <w:rFonts w:hint="eastAsia" w:ascii="宋体" w:hAnsi="宋体" w:eastAsia="宋体" w:cs="宋体"/>
          <w:sz w:val="28"/>
          <w:szCs w:val="28"/>
        </w:rPr>
        <w:t>教学质量监控体系，确保教育教学质量。</w:t>
      </w:r>
    </w:p>
    <w:p>
      <w:pPr>
        <w:ind w:firstLine="560" w:firstLineChars="200"/>
        <w:rPr>
          <w:rFonts w:hint="eastAsia" w:ascii="宋体" w:hAnsi="宋体" w:eastAsia="宋体" w:cs="宋体"/>
          <w:sz w:val="28"/>
          <w:szCs w:val="28"/>
        </w:rPr>
      </w:pPr>
    </w:p>
    <w:p>
      <w:pPr>
        <w:pStyle w:val="2"/>
        <w:rPr>
          <w:rFonts w:hint="eastAsia" w:ascii="宋体" w:hAnsi="宋体" w:eastAsia="宋体" w:cs="宋体"/>
          <w:sz w:val="28"/>
          <w:szCs w:val="28"/>
        </w:rPr>
      </w:pPr>
    </w:p>
    <w:p>
      <w:pPr>
        <w:pStyle w:val="2"/>
        <w:ind w:left="0" w:leftChars="0" w:firstLine="5320" w:firstLineChars="19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湖南外贸职业学院</w:t>
      </w:r>
    </w:p>
    <w:p>
      <w:pPr>
        <w:pStyle w:val="2"/>
        <w:ind w:firstLine="5040" w:firstLineChars="18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2023年6月13日</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eastAsia"/>
      </w:rPr>
    </w:pPr>
  </w:p>
  <w:p>
    <w:pPr>
      <w:pStyle w:val="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781688"/>
      <w:docPartObj>
        <w:docPartGallery w:val="autotext"/>
      </w:docPartObj>
    </w:sdtPr>
    <w:sdtEndPr>
      <w:rPr>
        <w:rFonts w:asciiTheme="minorEastAsia" w:hAnsiTheme="minorEastAsia"/>
        <w:sz w:val="28"/>
        <w:szCs w:val="28"/>
      </w:rPr>
    </w:sdtEndPr>
    <w:sdtContent>
      <w:p>
        <w:pPr>
          <w:pStyle w:val="8"/>
          <w:jc w:val="center"/>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27</w:t>
        </w:r>
        <w:r>
          <w:rPr>
            <w:rFonts w:asciiTheme="minorEastAsia" w:hAnsiTheme="minorEastAsia"/>
            <w:sz w:val="28"/>
            <w:szCs w:val="28"/>
          </w:rPr>
          <w:fldChar w:fldCharType="end"/>
        </w:r>
      </w:p>
    </w:sdtContent>
  </w:sdt>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mMjlhMDgwYTI3ZDMwZjkzZTEyY2U5YWE0YjcyY2UifQ=="/>
  </w:docVars>
  <w:rsids>
    <w:rsidRoot w:val="00F61073"/>
    <w:rsid w:val="00030BB4"/>
    <w:rsid w:val="00051F55"/>
    <w:rsid w:val="00066B3E"/>
    <w:rsid w:val="00085279"/>
    <w:rsid w:val="00090951"/>
    <w:rsid w:val="000A7600"/>
    <w:rsid w:val="000B48AB"/>
    <w:rsid w:val="000E58E1"/>
    <w:rsid w:val="001426C6"/>
    <w:rsid w:val="00150CC0"/>
    <w:rsid w:val="001B4473"/>
    <w:rsid w:val="001B7BCF"/>
    <w:rsid w:val="001F122F"/>
    <w:rsid w:val="001F3B1F"/>
    <w:rsid w:val="00221551"/>
    <w:rsid w:val="002D180D"/>
    <w:rsid w:val="003D00D5"/>
    <w:rsid w:val="00410DE3"/>
    <w:rsid w:val="004714B3"/>
    <w:rsid w:val="004B159A"/>
    <w:rsid w:val="00503604"/>
    <w:rsid w:val="005403FB"/>
    <w:rsid w:val="00582F7B"/>
    <w:rsid w:val="00586958"/>
    <w:rsid w:val="005B74A8"/>
    <w:rsid w:val="005F4ACE"/>
    <w:rsid w:val="00616B08"/>
    <w:rsid w:val="006515BE"/>
    <w:rsid w:val="006D326B"/>
    <w:rsid w:val="00706052"/>
    <w:rsid w:val="007158C6"/>
    <w:rsid w:val="00763EE3"/>
    <w:rsid w:val="00765272"/>
    <w:rsid w:val="007718D4"/>
    <w:rsid w:val="007A1CE3"/>
    <w:rsid w:val="007A325B"/>
    <w:rsid w:val="007B1881"/>
    <w:rsid w:val="007B4593"/>
    <w:rsid w:val="007D7924"/>
    <w:rsid w:val="0080697A"/>
    <w:rsid w:val="00813DC9"/>
    <w:rsid w:val="00837028"/>
    <w:rsid w:val="00840A54"/>
    <w:rsid w:val="00867BB9"/>
    <w:rsid w:val="008738B8"/>
    <w:rsid w:val="008F2EA9"/>
    <w:rsid w:val="00994D4F"/>
    <w:rsid w:val="009A4AB9"/>
    <w:rsid w:val="009B3000"/>
    <w:rsid w:val="009B6394"/>
    <w:rsid w:val="009B6855"/>
    <w:rsid w:val="00A1376A"/>
    <w:rsid w:val="00A86BB8"/>
    <w:rsid w:val="00AD242D"/>
    <w:rsid w:val="00AE0A7C"/>
    <w:rsid w:val="00AF04BD"/>
    <w:rsid w:val="00B35BAD"/>
    <w:rsid w:val="00B44872"/>
    <w:rsid w:val="00BF052A"/>
    <w:rsid w:val="00C95588"/>
    <w:rsid w:val="00CE66A1"/>
    <w:rsid w:val="00E20516"/>
    <w:rsid w:val="00E41A51"/>
    <w:rsid w:val="00EC06A7"/>
    <w:rsid w:val="00ED3180"/>
    <w:rsid w:val="00F1372C"/>
    <w:rsid w:val="00F5343C"/>
    <w:rsid w:val="00F61073"/>
    <w:rsid w:val="087129D2"/>
    <w:rsid w:val="0C7939F4"/>
    <w:rsid w:val="159F4D9E"/>
    <w:rsid w:val="184C5249"/>
    <w:rsid w:val="1B315B06"/>
    <w:rsid w:val="1B403E76"/>
    <w:rsid w:val="1DB01DAD"/>
    <w:rsid w:val="1DEC50D3"/>
    <w:rsid w:val="1EB329CD"/>
    <w:rsid w:val="274A167E"/>
    <w:rsid w:val="27D5457C"/>
    <w:rsid w:val="2D6910FA"/>
    <w:rsid w:val="302428C3"/>
    <w:rsid w:val="344901D5"/>
    <w:rsid w:val="34A114E3"/>
    <w:rsid w:val="37615D44"/>
    <w:rsid w:val="3B6B00FA"/>
    <w:rsid w:val="40514BD5"/>
    <w:rsid w:val="47E627E0"/>
    <w:rsid w:val="48587156"/>
    <w:rsid w:val="516A0933"/>
    <w:rsid w:val="598D0C2A"/>
    <w:rsid w:val="5C213071"/>
    <w:rsid w:val="69BF6BDD"/>
    <w:rsid w:val="6B6F5D5F"/>
    <w:rsid w:val="6CF82167"/>
    <w:rsid w:val="6D6514DD"/>
    <w:rsid w:val="717C69C3"/>
    <w:rsid w:val="72EF3624"/>
    <w:rsid w:val="738523E5"/>
    <w:rsid w:val="771A03F8"/>
    <w:rsid w:val="785F4A58"/>
    <w:rsid w:val="786C6713"/>
    <w:rsid w:val="78CB7528"/>
    <w:rsid w:val="7BBE1E4D"/>
    <w:rsid w:val="7E8E281C"/>
    <w:rsid w:val="7F2D76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19"/>
    <w:qFormat/>
    <w:uiPriority w:val="99"/>
    <w:pPr>
      <w:autoSpaceDE w:val="0"/>
      <w:autoSpaceDN w:val="0"/>
      <w:ind w:left="3206" w:hanging="848"/>
      <w:outlineLvl w:val="1"/>
    </w:pPr>
    <w:rPr>
      <w:rFonts w:ascii="宋体" w:hAnsi="宋体" w:eastAsia="宋体" w:cs="宋体"/>
      <w:b/>
      <w:bCs/>
      <w:kern w:val="0"/>
      <w:sz w:val="28"/>
      <w:szCs w:val="28"/>
    </w:rPr>
  </w:style>
  <w:style w:type="character" w:default="1" w:styleId="13">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spacing w:after="120"/>
      <w:ind w:left="420" w:leftChars="200"/>
    </w:pPr>
  </w:style>
  <w:style w:type="paragraph" w:styleId="6">
    <w:name w:val="Body Text"/>
    <w:basedOn w:val="1"/>
    <w:link w:val="16"/>
    <w:unhideWhenUsed/>
    <w:qFormat/>
    <w:uiPriority w:val="99"/>
    <w:pPr>
      <w:autoSpaceDE w:val="0"/>
      <w:autoSpaceDN w:val="0"/>
    </w:pPr>
    <w:rPr>
      <w:rFonts w:ascii="宋体" w:hAnsi="宋体" w:eastAsia="宋体" w:cs="宋体"/>
      <w:kern w:val="0"/>
      <w:sz w:val="28"/>
      <w:szCs w:val="28"/>
    </w:rPr>
  </w:style>
  <w:style w:type="paragraph" w:styleId="7">
    <w:name w:val="toc 3"/>
    <w:basedOn w:val="1"/>
    <w:next w:val="1"/>
    <w:semiHidden/>
    <w:unhideWhenUsed/>
    <w:qFormat/>
    <w:uiPriority w:val="39"/>
    <w:pPr>
      <w:ind w:left="840" w:leftChars="400"/>
    </w:pPr>
  </w:style>
  <w:style w:type="paragraph" w:styleId="8">
    <w:name w:val="footer"/>
    <w:basedOn w:val="1"/>
    <w:link w:val="23"/>
    <w:unhideWhenUsed/>
    <w:qFormat/>
    <w:uiPriority w:val="99"/>
    <w:pPr>
      <w:tabs>
        <w:tab w:val="center" w:pos="4153"/>
        <w:tab w:val="right" w:pos="8306"/>
      </w:tabs>
      <w:snapToGrid w:val="0"/>
    </w:pPr>
    <w:rPr>
      <w:sz w:val="18"/>
      <w:szCs w:val="18"/>
    </w:rPr>
  </w:style>
  <w:style w:type="paragraph" w:styleId="9">
    <w:name w:val="header"/>
    <w:basedOn w:val="1"/>
    <w:link w:val="2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000FF" w:themeColor="hyperlink"/>
      <w:u w:val="single"/>
      <w14:textFill>
        <w14:solidFill>
          <w14:schemeClr w14:val="hlink"/>
        </w14:solidFill>
      </w14:textFill>
    </w:rPr>
  </w:style>
  <w:style w:type="paragraph" w:customStyle="1" w:styleId="15">
    <w:name w:val="Normal"/>
    <w:qFormat/>
    <w:uiPriority w:val="0"/>
    <w:pPr>
      <w:jc w:val="both"/>
    </w:pPr>
    <w:rPr>
      <w:rFonts w:ascii="Calibri" w:hAnsi="Calibri" w:eastAsia="宋体" w:cs="宋体"/>
      <w:kern w:val="2"/>
      <w:sz w:val="21"/>
      <w:szCs w:val="21"/>
      <w:lang w:val="en-US" w:eastAsia="zh-CN" w:bidi="ar-SA"/>
    </w:rPr>
  </w:style>
  <w:style w:type="character" w:customStyle="1" w:styleId="16">
    <w:name w:val="正文文本 Char"/>
    <w:basedOn w:val="13"/>
    <w:link w:val="6"/>
    <w:qFormat/>
    <w:uiPriority w:val="99"/>
    <w:rPr>
      <w:rFonts w:ascii="宋体" w:hAnsi="宋体" w:eastAsia="宋体" w:cs="宋体"/>
      <w:kern w:val="0"/>
      <w:sz w:val="28"/>
      <w:szCs w:val="28"/>
    </w:rPr>
  </w:style>
  <w:style w:type="paragraph" w:customStyle="1" w:styleId="17">
    <w:name w:val="Table Paragraph"/>
    <w:basedOn w:val="1"/>
    <w:qFormat/>
    <w:uiPriority w:val="0"/>
    <w:pPr>
      <w:autoSpaceDE w:val="0"/>
      <w:autoSpaceDN w:val="0"/>
      <w:jc w:val="center"/>
    </w:pPr>
    <w:rPr>
      <w:rFonts w:ascii="宋体" w:hAnsi="宋体" w:eastAsia="宋体" w:cs="宋体"/>
      <w:kern w:val="0"/>
      <w:sz w:val="22"/>
    </w:rPr>
  </w:style>
  <w:style w:type="paragraph" w:customStyle="1" w:styleId="18">
    <w:name w:val="List Paragraph"/>
    <w:basedOn w:val="1"/>
    <w:qFormat/>
    <w:uiPriority w:val="0"/>
    <w:pPr>
      <w:autoSpaceDE w:val="0"/>
      <w:autoSpaceDN w:val="0"/>
      <w:spacing w:before="56"/>
      <w:ind w:left="2820" w:hanging="600"/>
    </w:pPr>
    <w:rPr>
      <w:rFonts w:ascii="宋体" w:hAnsi="宋体" w:eastAsia="宋体" w:cs="宋体"/>
      <w:kern w:val="0"/>
      <w:sz w:val="22"/>
    </w:rPr>
  </w:style>
  <w:style w:type="character" w:customStyle="1" w:styleId="19">
    <w:name w:val="标题 2 Char"/>
    <w:basedOn w:val="13"/>
    <w:link w:val="5"/>
    <w:qFormat/>
    <w:uiPriority w:val="99"/>
    <w:rPr>
      <w:rFonts w:ascii="宋体" w:hAnsi="宋体" w:eastAsia="宋体" w:cs="宋体"/>
      <w:b/>
      <w:bCs/>
      <w:kern w:val="0"/>
      <w:sz w:val="28"/>
      <w:szCs w:val="28"/>
    </w:rPr>
  </w:style>
  <w:style w:type="character" w:customStyle="1" w:styleId="20">
    <w:name w:val="15"/>
    <w:basedOn w:val="13"/>
    <w:qFormat/>
    <w:uiPriority w:val="0"/>
    <w:rPr>
      <w:rFonts w:hint="default" w:ascii="Times New Roman" w:hAnsi="Times New Roman" w:cs="Times New Roman"/>
    </w:rPr>
  </w:style>
  <w:style w:type="paragraph" w:customStyle="1" w:styleId="21">
    <w:name w:val="AAA图说"/>
    <w:basedOn w:val="1"/>
    <w:qFormat/>
    <w:uiPriority w:val="0"/>
    <w:pPr>
      <w:autoSpaceDE w:val="0"/>
      <w:autoSpaceDN w:val="0"/>
      <w:adjustRightInd w:val="0"/>
      <w:snapToGrid w:val="0"/>
      <w:spacing w:line="400" w:lineRule="exact"/>
      <w:jc w:val="center"/>
      <w:outlineLvl w:val="0"/>
    </w:pPr>
    <w:rPr>
      <w:rFonts w:ascii="宋体" w:hAnsi="宋体" w:eastAsia="宋体" w:cs="宋体"/>
      <w:color w:val="000000"/>
      <w:kern w:val="0"/>
      <w:szCs w:val="21"/>
    </w:rPr>
  </w:style>
  <w:style w:type="character" w:customStyle="1" w:styleId="22">
    <w:name w:val="页眉 Char"/>
    <w:basedOn w:val="13"/>
    <w:link w:val="9"/>
    <w:semiHidden/>
    <w:qFormat/>
    <w:uiPriority w:val="99"/>
    <w:rPr>
      <w:sz w:val="18"/>
      <w:szCs w:val="18"/>
    </w:rPr>
  </w:style>
  <w:style w:type="character" w:customStyle="1" w:styleId="23">
    <w:name w:val="页脚 Char"/>
    <w:basedOn w:val="13"/>
    <w:link w:val="8"/>
    <w:qFormat/>
    <w:uiPriority w:val="99"/>
    <w:rPr>
      <w:sz w:val="18"/>
      <w:szCs w:val="18"/>
    </w:rPr>
  </w:style>
  <w:style w:type="character" w:customStyle="1" w:styleId="24">
    <w:name w:val="标题 1 Char"/>
    <w:basedOn w:val="13"/>
    <w:link w:val="4"/>
    <w:qFormat/>
    <w:uiPriority w:val="9"/>
    <w:rPr>
      <w:b/>
      <w:bCs/>
      <w:kern w:val="44"/>
      <w:sz w:val="44"/>
      <w:szCs w:val="44"/>
    </w:rPr>
  </w:style>
  <w:style w:type="paragraph" w:customStyle="1" w:styleId="25">
    <w:name w:val="TOC Heading"/>
    <w:basedOn w:val="4"/>
    <w:next w:val="1"/>
    <w:semiHidden/>
    <w:unhideWhenUsed/>
    <w:qFormat/>
    <w:uiPriority w:val="39"/>
    <w:pPr>
      <w:widowControl/>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paragraph" w:customStyle="1" w:styleId="26">
    <w:name w:val="AAA正文"/>
    <w:basedOn w:val="1"/>
    <w:qFormat/>
    <w:uiPriority w:val="0"/>
    <w:pPr>
      <w:adjustRightInd w:val="0"/>
      <w:snapToGrid w:val="0"/>
      <w:spacing w:line="480" w:lineRule="exact"/>
      <w:ind w:firstLine="200" w:firstLineChars="200"/>
    </w:pPr>
    <w:rPr>
      <w:bCs/>
      <w:sz w:val="28"/>
      <w:szCs w:val="28"/>
    </w:rPr>
  </w:style>
  <w:style w:type="paragraph" w:customStyle="1" w:styleId="27">
    <w:name w:val="WPSOffice手动目录 1"/>
    <w:qFormat/>
    <w:uiPriority w:val="0"/>
    <w:pPr>
      <w:ind w:leftChars="0"/>
    </w:pPr>
    <w:rPr>
      <w:rFonts w:ascii="Times New Roman" w:hAnsi="Times New Roman" w:eastAsia="宋体" w:cs="Times New Roman"/>
      <w:sz w:val="20"/>
      <w:szCs w:val="20"/>
    </w:rPr>
  </w:style>
  <w:style w:type="paragraph" w:customStyle="1" w:styleId="28">
    <w:name w:val="WPSOffice手动目录 2"/>
    <w:qFormat/>
    <w:uiPriority w:val="0"/>
    <w:pPr>
      <w:ind w:leftChars="200"/>
    </w:pPr>
    <w:rPr>
      <w:rFonts w:ascii="Times New Roman" w:hAnsi="Times New Roman" w:eastAsia="宋体" w:cs="Times New Roman"/>
      <w:sz w:val="20"/>
      <w:szCs w:val="20"/>
    </w:rPr>
  </w:style>
  <w:style w:type="paragraph" w:customStyle="1" w:styleId="2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chart" Target="charts/chart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020&#27605;&#19994;&#29983;&#27880;&#20876;&#65288;289&#6528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a:t>学历继续教育与在校生对比</a:t>
            </a:r>
            <a:endParaRPr lang="en-US" altLang="zh-CN"/>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'[2020毕业生注册（289）.xls]Sheet1'!$D$28:$F$28</c:f>
              <c:strCache>
                <c:ptCount val="3"/>
                <c:pt idx="0">
                  <c:v>学历继续教育</c:v>
                </c:pt>
                <c:pt idx="1">
                  <c:v>在校生</c:v>
                </c:pt>
              </c:strCache>
            </c:strRef>
          </c:cat>
          <c:val>
            <c:numRef>
              <c:f>'[2020毕业生注册（289）.xls]Sheet1'!$D$29:$F$29</c:f>
              <c:numCache>
                <c:formatCode>0%</c:formatCode>
                <c:ptCount val="3"/>
                <c:pt idx="0">
                  <c:v>0.38</c:v>
                </c:pt>
                <c:pt idx="1">
                  <c:v>0.62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149FBC-E096-4B02-88DE-64FE1695920F}">
  <ds:schemaRefs/>
</ds:datastoreItem>
</file>

<file path=docProps/app.xml><?xml version="1.0" encoding="utf-8"?>
<Properties xmlns="http://schemas.openxmlformats.org/officeDocument/2006/extended-properties" xmlns:vt="http://schemas.openxmlformats.org/officeDocument/2006/docPropsVTypes">
  <Template>Normal</Template>
  <Pages>30</Pages>
  <Words>11680</Words>
  <Characters>12685</Characters>
  <Lines>125</Lines>
  <Paragraphs>35</Paragraphs>
  <TotalTime>19</TotalTime>
  <ScaleCrop>false</ScaleCrop>
  <LinksUpToDate>false</LinksUpToDate>
  <CharactersWithSpaces>13878</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2023-06-08T12:34:00Z</dcterms:created>
  <dc:creator>Administrator</dc:creator>
  <cp:lastModifiedBy>Administrator</cp:lastModifiedBy>
  <cp:lastPrinted>2023-06-14T01:04:24Z</cp:lastPrinted>
  <dcterms:modified xsi:type="dcterms:W3CDTF">2023-06-14T01:04:58Z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y fmtid="{D5CDD505-2E9C-101B-9397-08002B2CF9AE}" pid="3" name="ICV">
    <vt:lpwstr>459EDECEC7064CD5B4A07CFF49AD76FD_13</vt:lpwstr>
  </property>
</Properties>
</file>