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宋体" w:eastAsia="仿宋_GB2312"/>
          <w:sz w:val="28"/>
          <w:szCs w:val="28"/>
        </w:rPr>
      </w:pPr>
      <w:r>
        <w:rPr>
          <w:rFonts w:hint="eastAsia" w:ascii="仿宋_GB2312" w:hAnsi="宋体" w:eastAsia="仿宋_GB2312"/>
          <w:sz w:val="28"/>
          <w:szCs w:val="28"/>
        </w:rPr>
        <w:t>附表3-2</w:t>
      </w:r>
    </w:p>
    <w:p>
      <w:pPr>
        <w:jc w:val="center"/>
        <w:rPr>
          <w:rFonts w:ascii="宋体" w:hAnsi="宋体" w:cs="方正小标宋简体"/>
          <w:b/>
          <w:color w:val="000000"/>
          <w:sz w:val="32"/>
          <w:szCs w:val="32"/>
        </w:rPr>
      </w:pPr>
      <w:r>
        <w:rPr>
          <w:rFonts w:hint="eastAsia" w:ascii="宋体" w:hAnsi="宋体" w:cs="方正小标宋简体"/>
          <w:b/>
          <w:color w:val="000000"/>
          <w:sz w:val="32"/>
          <w:szCs w:val="32"/>
        </w:rPr>
        <w:t>教学测评细则</w:t>
      </w:r>
    </w:p>
    <w:p>
      <w:pPr>
        <w:rPr>
          <w:rFonts w:hint="eastAsia" w:ascii="宋体" w:hAnsi="宋体" w:eastAsia="宋体" w:cs="宋体"/>
          <w:b/>
          <w:bCs/>
          <w:color w:val="000000"/>
          <w:sz w:val="28"/>
          <w:szCs w:val="28"/>
          <w:lang w:eastAsia="zh-CN"/>
        </w:rPr>
      </w:pPr>
      <w:r>
        <w:rPr>
          <w:rFonts w:hint="eastAsia" w:ascii="宋体" w:hAnsi="宋体" w:cs="宋体"/>
          <w:color w:val="000000"/>
          <w:sz w:val="28"/>
          <w:szCs w:val="28"/>
        </w:rPr>
        <w:t>姓名：</w:t>
      </w:r>
      <w:r>
        <w:rPr>
          <w:rFonts w:hint="eastAsia" w:ascii="宋体" w:hAnsi="宋体" w:cs="宋体"/>
          <w:color w:val="000000"/>
          <w:sz w:val="28"/>
          <w:szCs w:val="28"/>
          <w:lang w:eastAsia="zh-CN"/>
        </w:rPr>
        <w:t>廖炀</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67"/>
        <w:gridCol w:w="6675"/>
        <w:gridCol w:w="2025"/>
        <w:gridCol w:w="965"/>
        <w:gridCol w:w="1190"/>
        <w:gridCol w:w="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467" w:type="dxa"/>
            <w:noWrap w:val="0"/>
            <w:vAlign w:val="center"/>
          </w:tcPr>
          <w:p>
            <w:pPr>
              <w:jc w:val="center"/>
              <w:rPr>
                <w:rFonts w:hint="eastAsia" w:ascii="仿宋_GB2312" w:hAnsi="宋体" w:eastAsia="仿宋_GB2312"/>
                <w:b/>
                <w:bCs/>
                <w:sz w:val="24"/>
              </w:rPr>
            </w:pPr>
            <w:r>
              <w:rPr>
                <w:rFonts w:hint="eastAsia" w:ascii="仿宋_GB2312" w:hAnsi="宋体" w:eastAsia="仿宋_GB2312"/>
                <w:b/>
                <w:bCs/>
                <w:sz w:val="24"/>
              </w:rPr>
              <w:t>指标名称</w:t>
            </w:r>
          </w:p>
        </w:tc>
        <w:tc>
          <w:tcPr>
            <w:tcW w:w="6675" w:type="dxa"/>
            <w:noWrap w:val="0"/>
            <w:vAlign w:val="center"/>
          </w:tcPr>
          <w:p>
            <w:pPr>
              <w:jc w:val="center"/>
              <w:rPr>
                <w:rFonts w:hint="eastAsia" w:ascii="仿宋_GB2312" w:hAnsi="宋体" w:eastAsia="仿宋_GB2312"/>
                <w:b/>
                <w:bCs/>
                <w:sz w:val="24"/>
              </w:rPr>
            </w:pPr>
            <w:r>
              <w:rPr>
                <w:rFonts w:hint="eastAsia" w:ascii="仿宋_GB2312" w:hAnsi="宋体" w:eastAsia="仿宋_GB2312"/>
                <w:b/>
                <w:bCs/>
                <w:sz w:val="24"/>
              </w:rPr>
              <w:t>评分标准</w:t>
            </w:r>
          </w:p>
        </w:tc>
        <w:tc>
          <w:tcPr>
            <w:tcW w:w="2025" w:type="dxa"/>
            <w:noWrap w:val="0"/>
            <w:vAlign w:val="center"/>
          </w:tcPr>
          <w:p>
            <w:pPr>
              <w:jc w:val="center"/>
              <w:rPr>
                <w:rFonts w:hint="eastAsia" w:ascii="仿宋_GB2312" w:hAnsi="宋体" w:eastAsia="仿宋_GB2312"/>
                <w:b/>
                <w:bCs/>
                <w:sz w:val="24"/>
              </w:rPr>
            </w:pPr>
            <w:r>
              <w:rPr>
                <w:rFonts w:hint="eastAsia" w:ascii="仿宋_GB2312" w:hAnsi="宋体" w:eastAsia="仿宋_GB2312"/>
                <w:b/>
                <w:bCs/>
                <w:sz w:val="24"/>
              </w:rPr>
              <w:t>佐证材料及页码</w:t>
            </w:r>
          </w:p>
        </w:tc>
        <w:tc>
          <w:tcPr>
            <w:tcW w:w="965" w:type="dxa"/>
            <w:noWrap w:val="0"/>
            <w:vAlign w:val="center"/>
          </w:tcPr>
          <w:p>
            <w:pPr>
              <w:jc w:val="center"/>
              <w:rPr>
                <w:rFonts w:hint="eastAsia" w:ascii="仿宋_GB2312" w:hAnsi="宋体" w:eastAsia="仿宋_GB2312"/>
                <w:b/>
                <w:bCs/>
                <w:sz w:val="24"/>
              </w:rPr>
            </w:pPr>
            <w:r>
              <w:rPr>
                <w:rFonts w:hint="eastAsia" w:ascii="仿宋_GB2312" w:hAnsi="宋体" w:eastAsia="仿宋_GB2312"/>
                <w:b/>
                <w:bCs/>
                <w:sz w:val="24"/>
              </w:rPr>
              <w:t>自评分</w:t>
            </w:r>
          </w:p>
        </w:tc>
        <w:tc>
          <w:tcPr>
            <w:tcW w:w="1190" w:type="dxa"/>
            <w:noWrap w:val="0"/>
            <w:vAlign w:val="center"/>
          </w:tcPr>
          <w:p>
            <w:pPr>
              <w:jc w:val="center"/>
              <w:rPr>
                <w:rFonts w:hint="eastAsia" w:ascii="仿宋_GB2312" w:hAnsi="宋体" w:eastAsia="仿宋_GB2312"/>
                <w:b/>
                <w:bCs/>
                <w:sz w:val="24"/>
              </w:rPr>
            </w:pPr>
            <w:r>
              <w:rPr>
                <w:rFonts w:hint="eastAsia" w:ascii="仿宋_GB2312" w:hAnsi="宋体" w:eastAsia="仿宋_GB2312"/>
                <w:b/>
                <w:bCs/>
                <w:sz w:val="24"/>
              </w:rPr>
              <w:t>评委评分</w:t>
            </w:r>
          </w:p>
        </w:tc>
        <w:tc>
          <w:tcPr>
            <w:tcW w:w="852" w:type="dxa"/>
            <w:noWrap w:val="0"/>
            <w:vAlign w:val="center"/>
          </w:tcPr>
          <w:p>
            <w:pPr>
              <w:jc w:val="center"/>
              <w:rPr>
                <w:rFonts w:hint="eastAsia" w:ascii="仿宋_GB2312" w:hAnsi="宋体" w:eastAsia="仿宋_GB2312"/>
                <w:b/>
                <w:bCs/>
                <w:sz w:val="24"/>
              </w:rPr>
            </w:pPr>
            <w:r>
              <w:rPr>
                <w:rFonts w:hint="eastAsia" w:ascii="仿宋_GB2312" w:hAnsi="宋体" w:eastAsia="仿宋_GB2312"/>
                <w:b/>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2467" w:type="dxa"/>
            <w:noWrap w:val="0"/>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1.课堂教学时量</w:t>
            </w:r>
          </w:p>
        </w:tc>
        <w:tc>
          <w:tcPr>
            <w:tcW w:w="6675" w:type="dxa"/>
            <w:noWrap w:val="0"/>
            <w:vAlign w:val="center"/>
          </w:tcPr>
          <w:p>
            <w:pPr>
              <w:ind w:firstLine="420" w:firstLineChars="200"/>
              <w:rPr>
                <w:rFonts w:hint="eastAsia" w:ascii="仿宋_GB2312" w:hAnsi="宋体" w:eastAsia="仿宋_GB2312"/>
                <w:color w:val="000000"/>
                <w:szCs w:val="21"/>
              </w:rPr>
            </w:pPr>
            <w:r>
              <w:rPr>
                <w:rFonts w:hint="eastAsia" w:ascii="仿宋_GB2312" w:hAnsi="宋体" w:eastAsia="仿宋_GB2312"/>
                <w:color w:val="000000"/>
                <w:szCs w:val="21"/>
              </w:rPr>
              <w:t>近五年课堂教学时量平均每超40学时计1分。课堂教学时量以教务处核算课时为准。</w:t>
            </w:r>
          </w:p>
        </w:tc>
        <w:tc>
          <w:tcPr>
            <w:tcW w:w="2025" w:type="dxa"/>
            <w:noWrap w:val="0"/>
            <w:vAlign w:val="center"/>
          </w:tcPr>
          <w:p>
            <w:pPr>
              <w:jc w:val="center"/>
              <w:rPr>
                <w:rFonts w:hint="default" w:ascii="仿宋_GB2312" w:hAnsi="宋体" w:eastAsia="仿宋_GB2312"/>
                <w:sz w:val="24"/>
                <w:lang w:val="en-US" w:eastAsia="zh-CN"/>
              </w:rPr>
            </w:pPr>
          </w:p>
        </w:tc>
        <w:tc>
          <w:tcPr>
            <w:tcW w:w="965" w:type="dxa"/>
            <w:noWrap w:val="0"/>
            <w:vAlign w:val="center"/>
          </w:tcPr>
          <w:p>
            <w:pPr>
              <w:jc w:val="center"/>
              <w:rPr>
                <w:rFonts w:hint="eastAsia" w:ascii="仿宋_GB2312" w:hAnsi="宋体" w:eastAsia="仿宋_GB2312"/>
                <w:sz w:val="24"/>
                <w:lang w:val="en-US" w:eastAsia="zh-CN"/>
              </w:rPr>
            </w:pPr>
          </w:p>
        </w:tc>
        <w:tc>
          <w:tcPr>
            <w:tcW w:w="1190" w:type="dxa"/>
            <w:noWrap w:val="0"/>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5.56</w:t>
            </w: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467" w:type="dxa"/>
            <w:noWrap w:val="0"/>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2.年度考核</w:t>
            </w:r>
          </w:p>
        </w:tc>
        <w:tc>
          <w:tcPr>
            <w:tcW w:w="6675" w:type="dxa"/>
            <w:noWrap w:val="0"/>
            <w:vAlign w:val="center"/>
          </w:tcPr>
          <w:p>
            <w:pPr>
              <w:spacing w:line="240" w:lineRule="exact"/>
              <w:ind w:firstLine="420" w:firstLineChars="200"/>
              <w:rPr>
                <w:rFonts w:hint="eastAsia" w:ascii="仿宋_GB2312" w:hAnsi="宋体" w:eastAsia="仿宋_GB2312"/>
                <w:color w:val="000000"/>
                <w:szCs w:val="21"/>
              </w:rPr>
            </w:pPr>
            <w:r>
              <w:rPr>
                <w:rFonts w:hint="eastAsia" w:ascii="仿宋_GB2312" w:hAnsi="宋体" w:eastAsia="仿宋_GB2312"/>
                <w:color w:val="000000"/>
                <w:szCs w:val="21"/>
              </w:rPr>
              <w:t>任现职以来，年度考核达到优秀等级每次计1分。</w:t>
            </w:r>
          </w:p>
        </w:tc>
        <w:tc>
          <w:tcPr>
            <w:tcW w:w="2025" w:type="dxa"/>
            <w:noWrap w:val="0"/>
            <w:vAlign w:val="center"/>
          </w:tcPr>
          <w:p>
            <w:pPr>
              <w:jc w:val="center"/>
              <w:rPr>
                <w:rFonts w:hint="default" w:ascii="仿宋_GB2312" w:hAnsi="宋体" w:eastAsia="仿宋_GB2312"/>
                <w:sz w:val="21"/>
                <w:szCs w:val="21"/>
                <w:lang w:val="en-US" w:eastAsia="zh-CN"/>
              </w:rPr>
            </w:pPr>
          </w:p>
        </w:tc>
        <w:tc>
          <w:tcPr>
            <w:tcW w:w="965" w:type="dxa"/>
            <w:noWrap w:val="0"/>
            <w:vAlign w:val="center"/>
          </w:tcPr>
          <w:p>
            <w:pPr>
              <w:jc w:val="center"/>
              <w:rPr>
                <w:rFonts w:hint="eastAsia" w:ascii="仿宋_GB2312" w:hAnsi="宋体" w:eastAsia="仿宋_GB2312"/>
                <w:sz w:val="24"/>
                <w:lang w:val="en-US" w:eastAsia="zh-CN"/>
              </w:rPr>
            </w:pPr>
          </w:p>
        </w:tc>
        <w:tc>
          <w:tcPr>
            <w:tcW w:w="1190" w:type="dxa"/>
            <w:noWrap w:val="0"/>
            <w:vAlign w:val="center"/>
          </w:tcPr>
          <w:p>
            <w:pPr>
              <w:jc w:val="center"/>
              <w:rPr>
                <w:rFonts w:hint="eastAsia" w:ascii="仿宋_GB2312" w:hAnsi="宋体" w:eastAsia="仿宋_GB2312"/>
                <w:sz w:val="24"/>
                <w:lang w:val="en-US" w:eastAsia="zh-CN"/>
              </w:rPr>
            </w:pP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2467" w:type="dxa"/>
            <w:noWrap w:val="0"/>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3.教学评价</w:t>
            </w:r>
          </w:p>
        </w:tc>
        <w:tc>
          <w:tcPr>
            <w:tcW w:w="6675" w:type="dxa"/>
            <w:noWrap w:val="0"/>
            <w:vAlign w:val="center"/>
          </w:tcPr>
          <w:p>
            <w:pPr>
              <w:ind w:firstLine="420" w:firstLineChars="200"/>
              <w:rPr>
                <w:rFonts w:hint="eastAsia" w:ascii="仿宋_GB2312" w:hAnsi="宋体" w:eastAsia="仿宋_GB2312"/>
                <w:color w:val="000000"/>
                <w:szCs w:val="21"/>
              </w:rPr>
            </w:pPr>
            <w:r>
              <w:rPr>
                <w:rFonts w:hint="eastAsia" w:ascii="仿宋_GB2312" w:hAnsi="宋体" w:eastAsia="仿宋_GB2312"/>
                <w:color w:val="000000"/>
                <w:szCs w:val="21"/>
              </w:rPr>
              <w:t>近五年每学期教学质量测评A等每次计1分。出现一般教学事故每次减1分，出现严重教学事故每次减3分，出现重大教学事故实行一票否决，当年不能参加职称评审。</w:t>
            </w:r>
          </w:p>
        </w:tc>
        <w:tc>
          <w:tcPr>
            <w:tcW w:w="2025" w:type="dxa"/>
            <w:noWrap w:val="0"/>
            <w:vAlign w:val="center"/>
          </w:tcPr>
          <w:p>
            <w:pPr>
              <w:jc w:val="center"/>
              <w:rPr>
                <w:rFonts w:hint="eastAsia" w:ascii="仿宋_GB2312" w:hAnsi="宋体" w:eastAsia="仿宋_GB2312"/>
                <w:sz w:val="24"/>
              </w:rPr>
            </w:pPr>
          </w:p>
        </w:tc>
        <w:tc>
          <w:tcPr>
            <w:tcW w:w="965" w:type="dxa"/>
            <w:noWrap w:val="0"/>
            <w:vAlign w:val="center"/>
          </w:tcPr>
          <w:p>
            <w:pPr>
              <w:jc w:val="center"/>
              <w:rPr>
                <w:rFonts w:hint="eastAsia" w:ascii="仿宋_GB2312" w:hAnsi="宋体" w:eastAsia="仿宋_GB2312"/>
                <w:sz w:val="24"/>
              </w:rPr>
            </w:pPr>
          </w:p>
        </w:tc>
        <w:tc>
          <w:tcPr>
            <w:tcW w:w="1190" w:type="dxa"/>
            <w:noWrap w:val="0"/>
            <w:vAlign w:val="center"/>
          </w:tcPr>
          <w:p>
            <w:pPr>
              <w:jc w:val="center"/>
              <w:rPr>
                <w:rFonts w:hint="eastAsia" w:ascii="仿宋_GB2312" w:hAnsi="宋体" w:eastAsia="仿宋_GB2312"/>
                <w:sz w:val="24"/>
              </w:rPr>
            </w:pP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467" w:type="dxa"/>
            <w:noWrap w:val="0"/>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4.教案</w:t>
            </w:r>
          </w:p>
        </w:tc>
        <w:tc>
          <w:tcPr>
            <w:tcW w:w="6675" w:type="dxa"/>
            <w:noWrap w:val="0"/>
            <w:vAlign w:val="center"/>
          </w:tcPr>
          <w:p>
            <w:pPr>
              <w:spacing w:line="240" w:lineRule="exact"/>
              <w:rPr>
                <w:rFonts w:hint="eastAsia" w:ascii="仿宋_GB2312" w:hAnsi="宋体" w:eastAsia="仿宋_GB2312"/>
                <w:color w:val="000000"/>
                <w:szCs w:val="21"/>
              </w:rPr>
            </w:pPr>
            <w:r>
              <w:rPr>
                <w:rFonts w:hint="eastAsia" w:ascii="仿宋_GB2312" w:hAnsi="宋体" w:eastAsia="仿宋_GB2312"/>
                <w:color w:val="000000"/>
                <w:szCs w:val="21"/>
              </w:rPr>
              <w:t>主要考察教师在授课内容、方法、技能等方面的掌握程度，满分5分。</w:t>
            </w:r>
          </w:p>
        </w:tc>
        <w:tc>
          <w:tcPr>
            <w:tcW w:w="2025" w:type="dxa"/>
            <w:noWrap w:val="0"/>
            <w:vAlign w:val="center"/>
          </w:tcPr>
          <w:p>
            <w:pPr>
              <w:jc w:val="center"/>
              <w:rPr>
                <w:rFonts w:hint="eastAsia" w:ascii="仿宋_GB2312" w:hAnsi="宋体" w:eastAsia="仿宋_GB2312"/>
                <w:sz w:val="24"/>
                <w:lang w:eastAsia="zh-CN"/>
              </w:rPr>
            </w:pPr>
          </w:p>
        </w:tc>
        <w:tc>
          <w:tcPr>
            <w:tcW w:w="965" w:type="dxa"/>
            <w:noWrap w:val="0"/>
            <w:vAlign w:val="center"/>
          </w:tcPr>
          <w:p>
            <w:pPr>
              <w:jc w:val="center"/>
              <w:rPr>
                <w:rFonts w:hint="default" w:ascii="仿宋_GB2312" w:hAnsi="宋体" w:eastAsia="仿宋_GB2312"/>
                <w:sz w:val="24"/>
                <w:lang w:val="en-US" w:eastAsia="zh-CN"/>
              </w:rPr>
            </w:pPr>
          </w:p>
        </w:tc>
        <w:tc>
          <w:tcPr>
            <w:tcW w:w="1190" w:type="dxa"/>
            <w:noWrap w:val="0"/>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4.8</w:t>
            </w: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4" w:hRule="atLeast"/>
        </w:trPr>
        <w:tc>
          <w:tcPr>
            <w:tcW w:w="2467" w:type="dxa"/>
            <w:noWrap w:val="0"/>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5.教学骨于</w:t>
            </w:r>
          </w:p>
        </w:tc>
        <w:tc>
          <w:tcPr>
            <w:tcW w:w="6675" w:type="dxa"/>
            <w:noWrap w:val="0"/>
            <w:vAlign w:val="center"/>
          </w:tcPr>
          <w:p>
            <w:pPr>
              <w:ind w:firstLine="420" w:firstLineChars="200"/>
              <w:rPr>
                <w:rFonts w:hint="eastAsia" w:ascii="仿宋_GB2312" w:eastAsia="仿宋_GB2312"/>
                <w:szCs w:val="21"/>
              </w:rPr>
            </w:pPr>
            <w:r>
              <w:rPr>
                <w:rFonts w:hint="eastAsia" w:ascii="仿宋_GB2312" w:eastAsia="仿宋_GB2312"/>
                <w:szCs w:val="21"/>
              </w:rPr>
              <w:t>任现职以来，国家级、省级教学名师分别计12分、8分，省级以上专业带头人、青年骨干教师计4分，校级专业（群）带头人、青年骨干教师计2分，教研室主任计1分，“双师型”素质教师计2分。以上项目以正式文件为准，同一项目不累计加分，只计其中的最高分。</w:t>
            </w:r>
          </w:p>
          <w:p>
            <w:pPr>
              <w:ind w:firstLine="420" w:firstLineChars="200"/>
              <w:rPr>
                <w:rFonts w:hint="eastAsia" w:ascii="仿宋_GB2312" w:eastAsia="仿宋_GB2312"/>
                <w:szCs w:val="21"/>
              </w:rPr>
            </w:pPr>
            <w:r>
              <w:rPr>
                <w:rFonts w:hint="eastAsia" w:ascii="仿宋_GB2312" w:eastAsia="仿宋_GB2312"/>
                <w:szCs w:val="21"/>
              </w:rPr>
              <w:t>“双师型”素质教师是指具有讲师以上教师职称，又具备下列条件之一的专任教师：（1）有本专业实际工作的中级（或以上）技术职称（含行业特许的职业资格证书）；（2）近五年中有两年以上（可累计计算）在企业第一线从事本专业实际工作经历，并能全面指导学生专业实践实训活动；（3）近五年主持（或主要参与）两项应用技术研究，成果已被企业使用，效益良好；（4）近五年主持（或主要参与）两项校内实践教学设施建设或提升技术水平的设计安装工作，使用效果好，在省内同类院校中居先进水平。</w:t>
            </w:r>
          </w:p>
        </w:tc>
        <w:tc>
          <w:tcPr>
            <w:tcW w:w="2025" w:type="dxa"/>
            <w:noWrap w:val="0"/>
            <w:vAlign w:val="center"/>
          </w:tcPr>
          <w:p>
            <w:pPr>
              <w:jc w:val="center"/>
              <w:rPr>
                <w:rFonts w:hint="eastAsia" w:ascii="仿宋_GB2312" w:hAnsi="宋体" w:eastAsia="仿宋_GB2312"/>
                <w:sz w:val="24"/>
              </w:rPr>
            </w:pPr>
          </w:p>
        </w:tc>
        <w:tc>
          <w:tcPr>
            <w:tcW w:w="965" w:type="dxa"/>
            <w:noWrap w:val="0"/>
            <w:vAlign w:val="center"/>
          </w:tcPr>
          <w:p>
            <w:pPr>
              <w:jc w:val="center"/>
              <w:rPr>
                <w:rFonts w:hint="eastAsia" w:ascii="仿宋_GB2312" w:hAnsi="宋体" w:eastAsia="仿宋_GB2312"/>
                <w:sz w:val="24"/>
              </w:rPr>
            </w:pPr>
            <w:bookmarkStart w:id="0" w:name="_GoBack"/>
            <w:bookmarkEnd w:id="0"/>
          </w:p>
        </w:tc>
        <w:tc>
          <w:tcPr>
            <w:tcW w:w="1190" w:type="dxa"/>
            <w:noWrap w:val="0"/>
            <w:vAlign w:val="center"/>
          </w:tcPr>
          <w:p>
            <w:pPr>
              <w:jc w:val="center"/>
              <w:rPr>
                <w:rFonts w:hint="eastAsia" w:ascii="仿宋_GB2312" w:hAnsi="宋体" w:eastAsia="仿宋_GB2312"/>
                <w:sz w:val="24"/>
              </w:rPr>
            </w:pP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0" w:hRule="atLeast"/>
        </w:trPr>
        <w:tc>
          <w:tcPr>
            <w:tcW w:w="2467" w:type="dxa"/>
            <w:noWrap w:val="0"/>
            <w:vAlign w:val="center"/>
          </w:tcPr>
          <w:p>
            <w:pPr>
              <w:rPr>
                <w:rFonts w:hint="eastAsia" w:ascii="仿宋_GB2312" w:hAnsi="宋体" w:eastAsia="仿宋_GB2312"/>
                <w:color w:val="000000"/>
                <w:szCs w:val="21"/>
              </w:rPr>
            </w:pPr>
            <w:r>
              <w:rPr>
                <w:rFonts w:hint="eastAsia" w:ascii="仿宋_GB2312" w:hAnsi="宋体" w:eastAsia="仿宋_GB2312"/>
                <w:color w:val="000000"/>
                <w:szCs w:val="21"/>
              </w:rPr>
              <w:t>6.主持或参与学科建设、专业建设、课程建设、教学质量与教学改革工程项目、实验室（实习实训室）建设、大学生思想道德素质提升工程等</w:t>
            </w:r>
          </w:p>
        </w:tc>
        <w:tc>
          <w:tcPr>
            <w:tcW w:w="6675" w:type="dxa"/>
            <w:noWrap w:val="0"/>
            <w:vAlign w:val="center"/>
          </w:tcPr>
          <w:p>
            <w:pPr>
              <w:ind w:firstLine="420" w:firstLineChars="200"/>
              <w:rPr>
                <w:rFonts w:ascii="仿宋_GB2312" w:hAnsi="宋体" w:eastAsia="仿宋_GB2312"/>
                <w:color w:val="000000"/>
                <w:szCs w:val="21"/>
              </w:rPr>
            </w:pPr>
            <w:r>
              <w:rPr>
                <w:rFonts w:hint="eastAsia" w:ascii="仿宋_GB2312" w:hAnsi="宋体" w:eastAsia="仿宋_GB2312"/>
                <w:color w:val="000000"/>
                <w:szCs w:val="21"/>
              </w:rPr>
              <w:t>主持国家级计25分，参与国家级取前五名，第二名至第六名依次计8、7、6、5、4分。</w:t>
            </w:r>
          </w:p>
          <w:p>
            <w:pPr>
              <w:ind w:firstLine="420" w:firstLineChars="200"/>
              <w:rPr>
                <w:rFonts w:ascii="仿宋_GB2312" w:hAnsi="宋体" w:eastAsia="仿宋_GB2312"/>
                <w:color w:val="000000"/>
                <w:szCs w:val="21"/>
              </w:rPr>
            </w:pPr>
            <w:r>
              <w:rPr>
                <w:rFonts w:hint="eastAsia" w:ascii="仿宋_GB2312" w:hAnsi="宋体" w:eastAsia="仿宋_GB2312"/>
                <w:color w:val="000000"/>
                <w:szCs w:val="21"/>
              </w:rPr>
              <w:t>主持省（部）级计10分，参与省（部）级取前三名，第二名至第四名依次计4、3、2分。</w:t>
            </w:r>
          </w:p>
          <w:p>
            <w:pPr>
              <w:ind w:firstLine="420" w:firstLineChars="200"/>
              <w:rPr>
                <w:rFonts w:hint="eastAsia" w:ascii="仿宋_GB2312" w:hAnsi="宋体" w:eastAsia="仿宋_GB2312"/>
                <w:color w:val="000000"/>
                <w:szCs w:val="21"/>
              </w:rPr>
            </w:pPr>
            <w:r>
              <w:rPr>
                <w:rFonts w:hint="eastAsia" w:ascii="仿宋_GB2312" w:hAnsi="宋体" w:eastAsia="仿宋_GB2312"/>
                <w:color w:val="000000"/>
                <w:szCs w:val="21"/>
              </w:rPr>
              <w:t>主持市（厅）级计5分，参与市（厅）级取第二名计1分。</w:t>
            </w:r>
          </w:p>
          <w:p>
            <w:pPr>
              <w:ind w:firstLine="420" w:firstLineChars="200"/>
              <w:rPr>
                <w:rFonts w:hint="eastAsia" w:ascii="仿宋_GB2312" w:eastAsia="仿宋_GB2312"/>
                <w:szCs w:val="21"/>
              </w:rPr>
            </w:pPr>
            <w:r>
              <w:rPr>
                <w:rFonts w:hint="eastAsia" w:ascii="仿宋_GB2312" w:eastAsia="仿宋_GB2312"/>
                <w:szCs w:val="21"/>
              </w:rPr>
              <w:t>本条所列以上项目，国家级指国家教育部立项发文，省（部）级指教育部有关司局、省教育厅、省委教育工委立项发文，市（厅）级指地级市教育部门、其他厅局立项发文。</w:t>
            </w:r>
          </w:p>
          <w:p>
            <w:pPr>
              <w:ind w:firstLine="420" w:firstLineChars="200"/>
              <w:rPr>
                <w:rFonts w:hint="eastAsia" w:ascii="仿宋_GB2312" w:eastAsia="仿宋_GB2312"/>
                <w:szCs w:val="21"/>
              </w:rPr>
            </w:pPr>
            <w:r>
              <w:rPr>
                <w:rFonts w:hint="eastAsia" w:ascii="仿宋_GB2312" w:eastAsia="仿宋_GB2312"/>
                <w:szCs w:val="21"/>
              </w:rPr>
              <w:t>主持校级项目计1分。</w:t>
            </w:r>
          </w:p>
        </w:tc>
        <w:tc>
          <w:tcPr>
            <w:tcW w:w="2025" w:type="dxa"/>
            <w:noWrap w:val="0"/>
            <w:vAlign w:val="center"/>
          </w:tcPr>
          <w:p>
            <w:pPr>
              <w:jc w:val="center"/>
              <w:rPr>
                <w:rFonts w:hint="eastAsia" w:ascii="仿宋_GB2312" w:hAnsi="宋体" w:eastAsia="仿宋_GB2312"/>
                <w:sz w:val="24"/>
              </w:rPr>
            </w:pPr>
          </w:p>
        </w:tc>
        <w:tc>
          <w:tcPr>
            <w:tcW w:w="965" w:type="dxa"/>
            <w:noWrap w:val="0"/>
            <w:vAlign w:val="center"/>
          </w:tcPr>
          <w:p>
            <w:pPr>
              <w:jc w:val="center"/>
              <w:rPr>
                <w:rFonts w:hint="eastAsia" w:ascii="仿宋_GB2312" w:hAnsi="宋体" w:eastAsia="仿宋_GB2312"/>
                <w:sz w:val="24"/>
              </w:rPr>
            </w:pPr>
          </w:p>
        </w:tc>
        <w:tc>
          <w:tcPr>
            <w:tcW w:w="1190" w:type="dxa"/>
            <w:noWrap w:val="0"/>
            <w:vAlign w:val="center"/>
          </w:tcPr>
          <w:p>
            <w:pPr>
              <w:jc w:val="center"/>
              <w:rPr>
                <w:rFonts w:hint="eastAsia" w:ascii="仿宋_GB2312" w:hAnsi="宋体" w:eastAsia="仿宋_GB2312"/>
                <w:sz w:val="24"/>
              </w:rPr>
            </w:pP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1" w:hRule="atLeast"/>
        </w:trPr>
        <w:tc>
          <w:tcPr>
            <w:tcW w:w="2467" w:type="dxa"/>
            <w:noWrap w:val="0"/>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7.获教学成果奖</w:t>
            </w:r>
          </w:p>
        </w:tc>
        <w:tc>
          <w:tcPr>
            <w:tcW w:w="6675" w:type="dxa"/>
            <w:noWrap w:val="0"/>
            <w:vAlign w:val="center"/>
          </w:tcPr>
          <w:p>
            <w:pPr>
              <w:ind w:firstLine="420" w:firstLineChars="200"/>
              <w:rPr>
                <w:rFonts w:ascii="仿宋_GB2312" w:eastAsia="仿宋_GB2312"/>
                <w:szCs w:val="21"/>
              </w:rPr>
            </w:pPr>
            <w:r>
              <w:rPr>
                <w:rFonts w:hint="eastAsia" w:ascii="仿宋_GB2312" w:eastAsia="仿宋_GB2312"/>
                <w:szCs w:val="21"/>
              </w:rPr>
              <w:t>国家级特等奖第一完成人计40分，有效排名计20分；一等奖第一完成人计25分，有效排名各计10分；二等奖第一完成人计15分，有效排名各计8分；三等奖第一完成人计10分，有效排名各计4分。</w:t>
            </w:r>
          </w:p>
          <w:p>
            <w:pPr>
              <w:rPr>
                <w:rFonts w:ascii="仿宋_GB2312" w:eastAsia="仿宋_GB2312"/>
                <w:szCs w:val="21"/>
              </w:rPr>
            </w:pPr>
            <w:r>
              <w:rPr>
                <w:rFonts w:hint="eastAsia" w:ascii="仿宋_GB2312" w:eastAsia="仿宋_GB2312"/>
                <w:szCs w:val="21"/>
              </w:rPr>
              <w:t>省（部）级一等奖第一完成人计10分，有效排名各计3分；二等奖取前5名，第一完成人计6分，其他计2分；三等奖取前3名，第一完成人计3分，其他计1分。</w:t>
            </w:r>
          </w:p>
          <w:p>
            <w:pPr>
              <w:ind w:firstLine="420" w:firstLineChars="200"/>
              <w:rPr>
                <w:rFonts w:hint="eastAsia" w:ascii="仿宋_GB2312" w:eastAsia="仿宋_GB2312"/>
                <w:szCs w:val="21"/>
              </w:rPr>
            </w:pPr>
            <w:r>
              <w:rPr>
                <w:rFonts w:hint="eastAsia" w:ascii="仿宋_GB2312" w:eastAsia="仿宋_GB2312"/>
                <w:szCs w:val="21"/>
              </w:rPr>
              <w:t>市（厅）级一等奖第一完成人计2分。</w:t>
            </w:r>
          </w:p>
          <w:p>
            <w:pPr>
              <w:ind w:firstLine="420" w:firstLineChars="200"/>
              <w:rPr>
                <w:rFonts w:ascii="仿宋_GB2312" w:eastAsia="仿宋_GB2312"/>
                <w:szCs w:val="21"/>
              </w:rPr>
            </w:pPr>
            <w:r>
              <w:rPr>
                <w:rFonts w:hint="eastAsia" w:ascii="仿宋_GB2312" w:eastAsia="仿宋_GB2312"/>
                <w:szCs w:val="21"/>
              </w:rPr>
              <w:t>校级一等奖第一完成人计1分。</w:t>
            </w:r>
          </w:p>
          <w:p>
            <w:pPr>
              <w:ind w:firstLine="420" w:firstLineChars="200"/>
              <w:rPr>
                <w:rFonts w:hint="eastAsia" w:ascii="仿宋_GB2312" w:eastAsia="仿宋_GB2312"/>
                <w:szCs w:val="21"/>
              </w:rPr>
            </w:pPr>
            <w:r>
              <w:rPr>
                <w:rFonts w:hint="eastAsia" w:ascii="仿宋_GB2312" w:eastAsia="仿宋_GB2312"/>
                <w:szCs w:val="21"/>
              </w:rPr>
              <w:t>教学成果奖必须是国家教育部、省教育厅、地级市教育部门或学校组织的、与教育教学有关的奖项。</w:t>
            </w:r>
          </w:p>
        </w:tc>
        <w:tc>
          <w:tcPr>
            <w:tcW w:w="2025" w:type="dxa"/>
            <w:noWrap w:val="0"/>
            <w:vAlign w:val="center"/>
          </w:tcPr>
          <w:p>
            <w:pPr>
              <w:jc w:val="center"/>
              <w:rPr>
                <w:rFonts w:hint="eastAsia" w:ascii="仿宋_GB2312" w:hAnsi="宋体" w:eastAsia="仿宋_GB2312"/>
                <w:sz w:val="24"/>
              </w:rPr>
            </w:pPr>
          </w:p>
        </w:tc>
        <w:tc>
          <w:tcPr>
            <w:tcW w:w="965" w:type="dxa"/>
            <w:noWrap w:val="0"/>
            <w:vAlign w:val="center"/>
          </w:tcPr>
          <w:p>
            <w:pPr>
              <w:jc w:val="center"/>
              <w:rPr>
                <w:rFonts w:hint="eastAsia" w:ascii="仿宋_GB2312" w:hAnsi="宋体" w:eastAsia="仿宋_GB2312"/>
                <w:sz w:val="24"/>
              </w:rPr>
            </w:pPr>
          </w:p>
        </w:tc>
        <w:tc>
          <w:tcPr>
            <w:tcW w:w="1190" w:type="dxa"/>
            <w:noWrap w:val="0"/>
            <w:vAlign w:val="center"/>
          </w:tcPr>
          <w:p>
            <w:pPr>
              <w:jc w:val="center"/>
              <w:rPr>
                <w:rFonts w:hint="eastAsia" w:ascii="仿宋_GB2312" w:hAnsi="宋体" w:eastAsia="仿宋_GB2312"/>
                <w:sz w:val="24"/>
              </w:rPr>
            </w:pP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8" w:hRule="atLeast"/>
        </w:trPr>
        <w:tc>
          <w:tcPr>
            <w:tcW w:w="2467" w:type="dxa"/>
            <w:noWrap w:val="0"/>
            <w:vAlign w:val="center"/>
          </w:tcPr>
          <w:p>
            <w:pPr>
              <w:rPr>
                <w:rFonts w:hint="eastAsia" w:ascii="仿宋_GB2312" w:hAnsi="宋体" w:eastAsia="仿宋_GB2312"/>
                <w:color w:val="FF0000"/>
                <w:szCs w:val="21"/>
              </w:rPr>
            </w:pPr>
            <w:r>
              <w:rPr>
                <w:rFonts w:hint="eastAsia" w:ascii="仿宋_GB2312" w:eastAsia="仿宋_GB2312"/>
                <w:szCs w:val="21"/>
              </w:rPr>
              <w:t>8.教学技能竞赛、教师专业技能竞赛、辅导员技能竞赛等获奖</w:t>
            </w:r>
          </w:p>
        </w:tc>
        <w:tc>
          <w:tcPr>
            <w:tcW w:w="6675" w:type="dxa"/>
            <w:noWrap w:val="0"/>
            <w:vAlign w:val="center"/>
          </w:tcPr>
          <w:p>
            <w:pPr>
              <w:ind w:firstLine="420" w:firstLineChars="200"/>
              <w:rPr>
                <w:rFonts w:hint="eastAsia" w:ascii="仿宋_GB2312" w:eastAsia="仿宋_GB2312"/>
                <w:sz w:val="28"/>
                <w:szCs w:val="28"/>
              </w:rPr>
            </w:pPr>
            <w:r>
              <w:rPr>
                <w:rFonts w:hint="eastAsia" w:ascii="仿宋_GB2312" w:eastAsia="仿宋_GB2312"/>
                <w:szCs w:val="21"/>
              </w:rPr>
              <w:t>参加由政府部门组织的教学技能竞赛（如信息化教学比赛、教师教学能力比赛等）、辅导员技能竞赛并获得荣誉称号，国家级一等奖计12分，二等奖计10分，三等奖计6分；省（部）级一等奖计6分，二等奖计4分，三等奖计2分；市（厅）级一等奖计2分，二等奖计1分；校级一等奖计1分。</w:t>
            </w:r>
          </w:p>
        </w:tc>
        <w:tc>
          <w:tcPr>
            <w:tcW w:w="2025" w:type="dxa"/>
            <w:noWrap w:val="0"/>
            <w:vAlign w:val="center"/>
          </w:tcPr>
          <w:p>
            <w:pPr>
              <w:jc w:val="center"/>
              <w:rPr>
                <w:rFonts w:hint="eastAsia" w:ascii="仿宋_GB2312" w:hAnsi="宋体" w:eastAsia="仿宋_GB2312"/>
                <w:sz w:val="24"/>
              </w:rPr>
            </w:pPr>
          </w:p>
        </w:tc>
        <w:tc>
          <w:tcPr>
            <w:tcW w:w="965" w:type="dxa"/>
            <w:noWrap w:val="0"/>
            <w:vAlign w:val="center"/>
          </w:tcPr>
          <w:p>
            <w:pPr>
              <w:jc w:val="center"/>
              <w:rPr>
                <w:rFonts w:hint="eastAsia" w:ascii="仿宋_GB2312" w:hAnsi="宋体" w:eastAsia="仿宋_GB2312"/>
                <w:sz w:val="24"/>
              </w:rPr>
            </w:pPr>
          </w:p>
        </w:tc>
        <w:tc>
          <w:tcPr>
            <w:tcW w:w="1190" w:type="dxa"/>
            <w:noWrap w:val="0"/>
            <w:vAlign w:val="center"/>
          </w:tcPr>
          <w:p>
            <w:pPr>
              <w:jc w:val="center"/>
              <w:rPr>
                <w:rFonts w:hint="eastAsia" w:ascii="仿宋_GB2312" w:hAnsi="宋体" w:eastAsia="仿宋_GB2312"/>
                <w:sz w:val="24"/>
              </w:rPr>
            </w:pP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7" w:type="dxa"/>
            <w:noWrap w:val="0"/>
            <w:vAlign w:val="center"/>
          </w:tcPr>
          <w:p>
            <w:pPr>
              <w:rPr>
                <w:rFonts w:hint="eastAsia" w:ascii="仿宋_GB2312" w:eastAsia="仿宋_GB2312"/>
                <w:szCs w:val="21"/>
              </w:rPr>
            </w:pPr>
            <w:r>
              <w:rPr>
                <w:rFonts w:hint="eastAsia" w:ascii="仿宋_GB2312" w:eastAsia="仿宋_GB2312"/>
                <w:szCs w:val="21"/>
              </w:rPr>
              <w:t>9.指导学生参加专业竞赛、创新创业大赛、社会实践（调查）、体育比赛等活动获奖以及立项省级以上项目</w:t>
            </w:r>
          </w:p>
        </w:tc>
        <w:tc>
          <w:tcPr>
            <w:tcW w:w="6675" w:type="dxa"/>
            <w:noWrap w:val="0"/>
            <w:vAlign w:val="center"/>
          </w:tcPr>
          <w:p>
            <w:pPr>
              <w:ind w:firstLine="420" w:firstLineChars="200"/>
              <w:rPr>
                <w:rFonts w:hint="eastAsia" w:ascii="仿宋_GB2312" w:eastAsia="仿宋_GB2312"/>
                <w:szCs w:val="21"/>
              </w:rPr>
            </w:pPr>
            <w:r>
              <w:rPr>
                <w:rFonts w:hint="eastAsia" w:ascii="仿宋_GB2312" w:eastAsia="仿宋_GB2312"/>
                <w:szCs w:val="21"/>
              </w:rPr>
              <w:t>指导学生参加专业竞赛、创新创业大赛、社会实践（调查）获国家级一等奖表彰奖励排名第一的指导教师计12分，其他指导教师计8分；二等奖排名第一的指导教师计10分，其他指导教师计6分；三等奖排名第一的指导教师计6分，其他指导教师计4分。省（部）级一等奖表彰奖励排名第一的指导教师计6分，其他指导教师计4分；二等奖排名第一的指导教师计4分，其他指导教师计2分；三等奖排名第一的指导教师计2分。市（厅）级一等奖表彰奖励排名第一的指导教师计3分。由学校批准参加的由国家教指委、行指委、国家一级学会等组织的比赛视同省级。指导学生立项省级以上项目参照以上标准执行。</w:t>
            </w:r>
          </w:p>
          <w:p>
            <w:pPr>
              <w:ind w:firstLine="420" w:firstLineChars="200"/>
              <w:rPr>
                <w:rFonts w:hint="eastAsia" w:ascii="仿宋_GB2312" w:eastAsia="仿宋_GB2312"/>
                <w:szCs w:val="21"/>
              </w:rPr>
            </w:pPr>
            <w:r>
              <w:rPr>
                <w:rFonts w:hint="eastAsia" w:ascii="仿宋_GB2312" w:eastAsia="仿宋_GB2312"/>
                <w:szCs w:val="21"/>
              </w:rPr>
              <w:t>指导学生参加专业竞赛、创新创业大赛、社会实践（调查）等的指导老师，以能体现指导老师姓名、学生获奖等次、颁奖单位的获证证书为准。获奖级别的界定参照学校教职工奖励办法执行，指导同一赛项多人获奖只计其中1人的最高分。</w:t>
            </w:r>
          </w:p>
          <w:p>
            <w:pPr>
              <w:ind w:firstLine="420" w:firstLineChars="200"/>
              <w:rPr>
                <w:rFonts w:hint="eastAsia" w:ascii="仿宋_GB2312" w:eastAsia="仿宋_GB2312"/>
                <w:szCs w:val="21"/>
              </w:rPr>
            </w:pPr>
            <w:r>
              <w:rPr>
                <w:rFonts w:hint="eastAsia" w:ascii="仿宋_GB2312" w:eastAsia="仿宋_GB2312"/>
                <w:szCs w:val="21"/>
              </w:rPr>
              <w:t>体育类学科指导学生参加按照国际体育运动竞赛（含世界运动会、项目锦标赛、项目冠军赛、大学生综合或单项比赛），获得团体前8名的项目教练员且排名前5名或取得个人前8名项目的教练员且排名前2名计10分；全国体育运动竞赛（含全运会、项目锦标赛、项目冠军赛、大学生综合或单项比赛），获得团体前6名的项目教练员且排名前3名或取得个人前6名项目的教练员且排名第1计7分；省级体育运动竞赛（含省运会、项目锦标赛、项目冠军赛、大学生综合或单项比赛），获得团体前3名的项目教练员且排名前2名或取得个人前3名项目的教练员且排名第1计5分。带队教练的身份认定以相应比赛的秩序册和成绩</w:t>
            </w:r>
          </w:p>
          <w:p>
            <w:pPr>
              <w:rPr>
                <w:rFonts w:hint="eastAsia" w:ascii="仿宋_GB2312" w:eastAsia="仿宋_GB2312"/>
                <w:szCs w:val="21"/>
              </w:rPr>
            </w:pPr>
            <w:r>
              <w:rPr>
                <w:rFonts w:hint="eastAsia" w:ascii="仿宋_GB2312" w:eastAsia="仿宋_GB2312"/>
                <w:szCs w:val="21"/>
              </w:rPr>
              <w:t>册为准；大学生运动会包括各单项大学生体育协会组织的正式竞赛；每项赛事每年度不累加计分，只计算该项赛事该年度的最高名次分；田径等项目的单项竞赛名次获得者与其教练身份难以在秩序册反映的，则取该学校该项目比赛的n个最好有效单项名次分，累加后除以n个教练员人数，即取平均分；同一比赛的单项有效名次取最高名次计分不累加计分；各级邀请赛和对抗赛等公益性质或商业性质比赛不在统计之列。</w:t>
            </w:r>
          </w:p>
        </w:tc>
        <w:tc>
          <w:tcPr>
            <w:tcW w:w="2025" w:type="dxa"/>
            <w:noWrap w:val="0"/>
            <w:vAlign w:val="center"/>
          </w:tcPr>
          <w:p>
            <w:pPr>
              <w:jc w:val="center"/>
              <w:rPr>
                <w:rFonts w:hint="eastAsia" w:ascii="仿宋_GB2312" w:hAnsi="宋体" w:eastAsia="仿宋_GB2312"/>
                <w:sz w:val="24"/>
              </w:rPr>
            </w:pPr>
          </w:p>
        </w:tc>
        <w:tc>
          <w:tcPr>
            <w:tcW w:w="965" w:type="dxa"/>
            <w:noWrap w:val="0"/>
            <w:vAlign w:val="center"/>
          </w:tcPr>
          <w:p>
            <w:pPr>
              <w:jc w:val="center"/>
              <w:rPr>
                <w:rFonts w:hint="eastAsia" w:ascii="仿宋_GB2312" w:hAnsi="宋体" w:eastAsia="仿宋_GB2312"/>
                <w:sz w:val="24"/>
              </w:rPr>
            </w:pPr>
          </w:p>
        </w:tc>
        <w:tc>
          <w:tcPr>
            <w:tcW w:w="1190" w:type="dxa"/>
            <w:noWrap w:val="0"/>
            <w:vAlign w:val="center"/>
          </w:tcPr>
          <w:p>
            <w:pPr>
              <w:jc w:val="center"/>
              <w:rPr>
                <w:rFonts w:hint="eastAsia" w:ascii="仿宋_GB2312" w:hAnsi="宋体" w:eastAsia="仿宋_GB2312"/>
                <w:sz w:val="24"/>
              </w:rPr>
            </w:pPr>
          </w:p>
        </w:tc>
        <w:tc>
          <w:tcPr>
            <w:tcW w:w="852" w:type="dxa"/>
            <w:noWrap w:val="0"/>
            <w:vAlign w:val="center"/>
          </w:tcPr>
          <w:p>
            <w:pPr>
              <w:rPr>
                <w:rFonts w:hint="eastAsia" w:ascii="仿宋_GB2312" w:hAnsi="宋体" w:eastAsia="仿宋_GB2312"/>
                <w:sz w:val="24"/>
              </w:rPr>
            </w:pPr>
          </w:p>
        </w:tc>
      </w:tr>
    </w:tbl>
    <w:p/>
    <w:sectPr>
      <w:pgSz w:w="16838" w:h="11906" w:orient="landscape"/>
      <w:pgMar w:top="1236" w:right="1440" w:bottom="1236"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C7334E"/>
    <w:rsid w:val="056C2F0A"/>
    <w:rsid w:val="0D4F5565"/>
    <w:rsid w:val="1A5031C3"/>
    <w:rsid w:val="1BC432DE"/>
    <w:rsid w:val="20C7334E"/>
    <w:rsid w:val="27AF5B0F"/>
    <w:rsid w:val="399A0685"/>
    <w:rsid w:val="47B37136"/>
    <w:rsid w:val="61895C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25</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2020-11-12T04:07:00Z</dcterms:created>
  <dc:creator>P_Li</dc:creator>
  <cp:lastModifiedBy>LENOVO</cp:lastModifiedBy>
  <cp:lastPrinted>2020-11-25T02:11:00Z</cp:lastPrinted>
  <dcterms:modified xsi:type="dcterms:W3CDTF">2020-12-01T04:35:06Z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